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after="120"/>
        <w:rPr>
          <w:b/>
          <w:color w:val="FF0000"/>
          <w:sz w:val="32"/>
          <w:szCs w:val="32"/>
        </w:rPr>
      </w:pPr>
    </w:p>
    <w:p>
      <w:pPr>
        <w:spacing w:before="120" w:after="120"/>
        <w:jc w:val="center"/>
        <w:rPr>
          <w:rFonts w:hint="default"/>
          <w:b/>
          <w:color w:val="FF0000"/>
          <w:sz w:val="36"/>
          <w:szCs w:val="36"/>
          <w:lang w:val="en-US"/>
        </w:rPr>
      </w:pPr>
      <w:r>
        <w:rPr>
          <w:rFonts w:hint="default"/>
          <w:b/>
          <w:color w:val="FF0000"/>
          <w:sz w:val="36"/>
          <w:szCs w:val="36"/>
          <w:lang w:val="en-US"/>
        </w:rPr>
        <w:t>TÀI LIỆU SINH HOẠT CHI ĐOÀN THÁNG 4/2023</w:t>
      </w:r>
    </w:p>
    <w:p>
      <w:pPr>
        <w:spacing w:before="120" w:after="120"/>
        <w:rPr>
          <w:b/>
          <w:color w:val="FF0000"/>
          <w:sz w:val="32"/>
          <w:szCs w:val="32"/>
        </w:rPr>
      </w:pPr>
      <w:bookmarkStart w:id="0" w:name="_GoBack"/>
      <w:bookmarkEnd w:id="0"/>
    </w:p>
    <w:p>
      <w:pPr>
        <w:spacing w:before="120" w:after="120"/>
        <w:rPr>
          <w:b/>
          <w:color w:val="FF0000"/>
          <w:sz w:val="32"/>
          <w:szCs w:val="32"/>
        </w:rPr>
      </w:pPr>
    </w:p>
    <w:p>
      <w:pPr>
        <w:spacing w:before="120" w:after="120"/>
        <w:rPr>
          <w:b/>
          <w:color w:val="000000" w:themeColor="text1"/>
          <w:sz w:val="28"/>
          <w:szCs w:val="28"/>
          <w14:textFill>
            <w14:solidFill>
              <w14:schemeClr w14:val="tx1"/>
            </w14:solidFill>
          </w14:textFill>
        </w:rPr>
      </w:pPr>
      <w:r>
        <w:rPr>
          <w:b/>
          <w:color w:val="000000" w:themeColor="text1"/>
          <w:sz w:val="28"/>
          <w:szCs w:val="28"/>
          <w:highlight w:val="cyan"/>
          <w14:textFill>
            <w14:solidFill>
              <w14:schemeClr w14:val="tx1"/>
            </w14:solidFill>
          </w14:textFill>
        </w:rPr>
        <w:t>I</w:t>
      </w:r>
      <w:r>
        <w:rPr>
          <w:b/>
          <w:color w:val="000000" w:themeColor="text1"/>
          <w:sz w:val="28"/>
          <w:szCs w:val="28"/>
          <w:highlight w:val="cyan"/>
          <w:lang w:val="vi-VN"/>
          <w14:textFill>
            <w14:solidFill>
              <w14:schemeClr w14:val="tx1"/>
            </w14:solidFill>
          </w14:textFill>
        </w:rPr>
        <w:t>. THEO DÒNG LỊCH SỬ</w:t>
      </w:r>
    </w:p>
    <w:p>
      <w:pPr>
        <w:spacing w:before="120" w:after="120" w:line="252" w:lineRule="auto"/>
        <w:jc w:val="both"/>
        <w:rPr>
          <w:b/>
          <w:color w:val="FF0000"/>
          <w:sz w:val="28"/>
          <w:szCs w:val="28"/>
        </w:rPr>
      </w:pPr>
      <w:r>
        <w:rPr>
          <w:b/>
          <w:color w:val="FF0000"/>
          <w:sz w:val="28"/>
          <w:szCs w:val="28"/>
        </w:rPr>
        <w:drawing>
          <wp:inline distT="0" distB="0" distL="0" distR="0">
            <wp:extent cx="5401310" cy="73342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8103" cy="7343314"/>
                    </a:xfrm>
                    <a:prstGeom prst="rect">
                      <a:avLst/>
                    </a:prstGeom>
                  </pic:spPr>
                </pic:pic>
              </a:graphicData>
            </a:graphic>
          </wp:inline>
        </w:drawing>
      </w:r>
    </w:p>
    <w:p>
      <w:pPr>
        <w:spacing w:before="120" w:after="120" w:line="252" w:lineRule="auto"/>
        <w:jc w:val="both"/>
        <w:rPr>
          <w:b/>
          <w:color w:val="000000" w:themeColor="text1"/>
          <w:sz w:val="28"/>
          <w:szCs w:val="28"/>
          <w:highlight w:val="cyan"/>
          <w14:textFill>
            <w14:solidFill>
              <w14:schemeClr w14:val="tx1"/>
            </w14:solidFill>
          </w14:textFill>
        </w:rPr>
      </w:pPr>
    </w:p>
    <w:p>
      <w:pPr>
        <w:spacing w:before="120" w:after="120" w:line="252" w:lineRule="auto"/>
        <w:jc w:val="both"/>
        <w:rPr>
          <w:b/>
          <w:bCs/>
          <w:spacing w:val="-2"/>
          <w:sz w:val="28"/>
          <w:szCs w:val="28"/>
        </w:rPr>
      </w:pPr>
      <w:r>
        <w:rPr>
          <w:b/>
          <w:color w:val="000000" w:themeColor="text1"/>
          <w:sz w:val="28"/>
          <w:szCs w:val="28"/>
          <w:highlight w:val="cyan"/>
          <w:lang w:val="vi-VN"/>
          <w14:textFill>
            <w14:solidFill>
              <w14:schemeClr w14:val="tx1"/>
            </w14:solidFill>
          </w14:textFill>
        </w:rPr>
        <w:t>II. NGÀY TRUYỀN THỐNG</w:t>
      </w:r>
      <w:r>
        <w:rPr>
          <w:b/>
          <w:sz w:val="28"/>
          <w:szCs w:val="28"/>
          <w:highlight w:val="cyan"/>
        </w:rPr>
        <w:t xml:space="preserve"> </w:t>
      </w:r>
    </w:p>
    <w:p>
      <w:pPr>
        <w:spacing w:before="120" w:after="120"/>
        <w:rPr>
          <w:b/>
          <w:bCs/>
          <w:sz w:val="28"/>
          <w:szCs w:val="28"/>
        </w:rPr>
      </w:pPr>
      <w:r>
        <w:rPr>
          <w:b/>
          <w:bCs/>
          <w:sz w:val="28"/>
          <w:szCs w:val="28"/>
          <w:lang w:val="vi-VN"/>
        </w:rPr>
        <w:t xml:space="preserve">1. </w:t>
      </w:r>
      <w:r>
        <w:rPr>
          <w:b/>
          <w:bCs/>
          <w:sz w:val="28"/>
          <w:szCs w:val="28"/>
        </w:rPr>
        <w:t xml:space="preserve">Kỷ niệm 116 năm ngày sinh Tổng Bí thư Lê Duẩn </w:t>
      </w:r>
      <w:r>
        <w:rPr>
          <w:b/>
          <w:bCs/>
          <w:i/>
          <w:sz w:val="28"/>
          <w:szCs w:val="28"/>
        </w:rPr>
        <w:t>(07/4/1907 – 07/4/2023)</w:t>
      </w:r>
      <w:r>
        <w:rPr>
          <w:b/>
          <w:bCs/>
          <w:sz w:val="28"/>
          <w:szCs w:val="28"/>
        </w:rPr>
        <w:br w:type="textWrapping"/>
      </w:r>
      <w:r>
        <w:rPr>
          <w:b/>
          <w:bCs/>
          <w:i/>
          <w:sz w:val="28"/>
          <w:szCs w:val="28"/>
        </w:rPr>
        <w:t>Công lao to lớn và cống hiến xuất sắc của Tổng Bí thư Lê Duẩn</w:t>
      </w:r>
    </w:p>
    <w:p>
      <w:pPr>
        <w:spacing w:before="120" w:after="120"/>
        <w:ind w:firstLine="567"/>
        <w:jc w:val="both"/>
        <w:rPr>
          <w:bCs/>
          <w:sz w:val="28"/>
          <w:szCs w:val="28"/>
          <w:lang w:val="vi-VN"/>
        </w:rPr>
      </w:pPr>
      <w:r>
        <w:rPr>
          <w:bCs/>
          <w:sz w:val="28"/>
          <w:szCs w:val="28"/>
          <w:lang w:val="vi-VN"/>
        </w:rPr>
        <w:t>Một trong những giai đoạn hoạt động cách mạng sôi nổi của đồng chí Lê Duẩn chính là trên cương vị Bí thư Trung ương Cục miền Nam, đồng chí đã có mặt ở hầu như tất cả các vùng miền Nam để khảo sát hoạt động của các tổ chức cơ sở đảng, từ đó chỉ đạo tổ chức, xây dựng lại các cơ quan Đảng ngày càng chặt chẽ, vững mạnh. Đồng chí Lê Duẩn đã kịp thời phát hiện ra những khó khăn của cách mạng miền Nam và năm 1956, đồng chí đã soạn thảo văn kiện nổi tiếng “Đề cương Cách mạng miền Nam” - phác thảo quan trọng cho con đường cách mạng giải phóng miền Nam. Bản đề cương có giá trị đột phá, khai thông, tạo niềm tin cách mạng, dấy lên phong trào Đồng khởi mạnh mẽ ở miền Nam những năm 1959-1960. Đây còn là sự chuẩn bị cả về cơ sở lý luận và thực tiễn để Đảng ta hoạch định đường lối cách mạng miền Nam trong kháng chiến chống Mỹ, cứu nước.</w:t>
      </w:r>
    </w:p>
    <w:p>
      <w:pPr>
        <w:spacing w:before="120" w:after="120"/>
        <w:ind w:firstLine="567"/>
        <w:jc w:val="center"/>
        <w:rPr>
          <w:bCs/>
          <w:sz w:val="28"/>
          <w:szCs w:val="28"/>
          <w:lang w:val="vi-VN"/>
        </w:rPr>
      </w:pPr>
      <w:r>
        <w:rPr>
          <w:bCs/>
          <w:sz w:val="28"/>
          <w:szCs w:val="28"/>
        </w:rPr>
        <w:drawing>
          <wp:inline distT="0" distB="0" distL="0" distR="0">
            <wp:extent cx="3857625" cy="2407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862930" cy="2411245"/>
                    </a:xfrm>
                    <a:prstGeom prst="rect">
                      <a:avLst/>
                    </a:prstGeom>
                  </pic:spPr>
                </pic:pic>
              </a:graphicData>
            </a:graphic>
          </wp:inline>
        </w:drawing>
      </w:r>
    </w:p>
    <w:p>
      <w:pPr>
        <w:spacing w:before="120" w:after="120"/>
        <w:ind w:firstLine="567"/>
        <w:jc w:val="center"/>
        <w:rPr>
          <w:i/>
          <w:iCs/>
          <w:color w:val="1A1A1A"/>
          <w:sz w:val="22"/>
          <w:szCs w:val="22"/>
          <w:shd w:val="clear" w:color="auto" w:fill="FFFFFF"/>
        </w:rPr>
      </w:pPr>
      <w:r>
        <w:rPr>
          <w:i/>
          <w:iCs/>
          <w:color w:val="1A1A1A"/>
          <w:sz w:val="22"/>
          <w:szCs w:val="22"/>
          <w:shd w:val="clear" w:color="auto" w:fill="FFFFFF"/>
        </w:rPr>
        <w:t xml:space="preserve">Đồng chí Lê Duẩn với các chiến sỹ phòng không Hà Nội trong chiến dịch </w:t>
      </w:r>
      <w:r>
        <w:rPr>
          <w:i/>
          <w:iCs/>
          <w:color w:val="1A1A1A"/>
          <w:sz w:val="22"/>
          <w:szCs w:val="22"/>
          <w:shd w:val="clear" w:color="auto" w:fill="FFFFFF"/>
        </w:rPr>
        <w:br w:type="textWrapping"/>
      </w:r>
      <w:r>
        <w:rPr>
          <w:i/>
          <w:iCs/>
          <w:color w:val="1A1A1A"/>
          <w:sz w:val="22"/>
          <w:szCs w:val="22"/>
          <w:shd w:val="clear" w:color="auto" w:fill="FFFFFF"/>
        </w:rPr>
        <w:t>12 ngày đêm đánh B52 Mỹ. Ảnh tư liệu</w:t>
      </w:r>
    </w:p>
    <w:p>
      <w:pPr>
        <w:spacing w:before="120" w:after="120"/>
        <w:ind w:firstLine="562"/>
        <w:jc w:val="right"/>
        <w:rPr>
          <w:b/>
          <w:sz w:val="28"/>
          <w:szCs w:val="28"/>
          <w:lang w:val="vi-VN"/>
        </w:rPr>
      </w:pPr>
      <w:r>
        <w:rPr>
          <w:b/>
          <w:sz w:val="28"/>
          <w:szCs w:val="28"/>
          <w:lang w:val="vi-VN"/>
        </w:rPr>
        <w:t>Nguồn: Báo quân khu 4</w:t>
      </w:r>
    </w:p>
    <w:p>
      <w:pPr>
        <w:spacing w:before="120" w:after="120"/>
        <w:ind w:firstLine="562"/>
        <w:jc w:val="right"/>
        <w:rPr>
          <w:bCs/>
          <w:sz w:val="28"/>
          <w:szCs w:val="28"/>
        </w:rPr>
      </w:pPr>
      <w:r>
        <w:rPr>
          <w:bCs/>
          <w:sz w:val="28"/>
          <w:szCs w:val="28"/>
          <w:lang w:val="vi-VN"/>
        </w:rPr>
        <w:t>Xem thêm tại:</w:t>
      </w:r>
      <w:r>
        <w:rPr>
          <w:sz w:val="28"/>
          <w:szCs w:val="28"/>
        </w:rPr>
        <w:t xml:space="preserve"> </w:t>
      </w:r>
      <w:r>
        <w:fldChar w:fldCharType="begin"/>
      </w:r>
      <w:r>
        <w:instrText xml:space="preserve"> HYPERLINK "https://bom.so/FSpLkQ" </w:instrText>
      </w:r>
      <w:r>
        <w:fldChar w:fldCharType="separate"/>
      </w:r>
      <w:r>
        <w:rPr>
          <w:rStyle w:val="51"/>
          <w:bCs/>
          <w:sz w:val="28"/>
          <w:szCs w:val="28"/>
          <w:lang w:val="vi-VN"/>
        </w:rPr>
        <w:t>https://bom.so/FSpLkQ</w:t>
      </w:r>
      <w:r>
        <w:rPr>
          <w:rStyle w:val="51"/>
          <w:bCs/>
          <w:sz w:val="28"/>
          <w:szCs w:val="28"/>
          <w:lang w:val="vi-VN"/>
        </w:rPr>
        <w:fldChar w:fldCharType="end"/>
      </w:r>
      <w:r>
        <w:rPr>
          <w:bCs/>
          <w:sz w:val="28"/>
          <w:szCs w:val="28"/>
          <w:lang w:val="vi-VN"/>
        </w:rPr>
        <w:t xml:space="preserve"> </w:t>
      </w:r>
    </w:p>
    <w:p>
      <w:pPr>
        <w:rPr>
          <w:b/>
          <w:sz w:val="28"/>
          <w:szCs w:val="28"/>
          <w:lang w:val="vi-VN"/>
        </w:rPr>
      </w:pPr>
      <w:r>
        <w:rPr>
          <w:b/>
          <w:sz w:val="28"/>
          <w:szCs w:val="28"/>
          <w:lang w:val="vi-VN"/>
        </w:rPr>
        <w:t>2. Kỷ niệm Ngày sách và Văn hoá đọc Việt Nam 21/4</w:t>
      </w:r>
    </w:p>
    <w:p>
      <w:pPr>
        <w:jc w:val="center"/>
      </w:pPr>
      <w:r>
        <w:drawing>
          <wp:inline distT="0" distB="0" distL="0" distR="0">
            <wp:extent cx="4067175" cy="27076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067330" cy="2707819"/>
                    </a:xfrm>
                    <a:prstGeom prst="rect">
                      <a:avLst/>
                    </a:prstGeom>
                  </pic:spPr>
                </pic:pic>
              </a:graphicData>
            </a:graphic>
          </wp:inline>
        </w:drawing>
      </w:r>
    </w:p>
    <w:p>
      <w:pPr>
        <w:pStyle w:val="2"/>
        <w:spacing w:before="120" w:after="120" w:line="240" w:lineRule="auto"/>
        <w:ind w:firstLine="720"/>
        <w:jc w:val="both"/>
        <w:rPr>
          <w:i/>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Ngày Sách và Văn hóa đọc Việt Nam 21/4: Nguồn gốc, ý nghĩa</w:t>
      </w:r>
    </w:p>
    <w:p>
      <w:pPr>
        <w:ind w:firstLine="720"/>
        <w:jc w:val="both"/>
        <w:rPr>
          <w:bCs/>
          <w:sz w:val="28"/>
          <w:szCs w:val="28"/>
        </w:rPr>
      </w:pPr>
      <w:r>
        <w:rPr>
          <w:bCs/>
          <w:sz w:val="28"/>
          <w:szCs w:val="28"/>
        </w:rPr>
        <w:t>Sách là giá trị tinh thần vô cùng quan trọng trong đời sống của con người, là kho tàng tri thức vô tận và là ánh sáng dẫn bước đi đến tương lai. Văn hóa đọc là một trong những truyền thống quý báu cần được phát huy để có thể phát triển bền vững.</w:t>
      </w:r>
    </w:p>
    <w:p>
      <w:pPr>
        <w:ind w:firstLine="720"/>
        <w:jc w:val="both"/>
        <w:rPr>
          <w:bCs/>
          <w:sz w:val="28"/>
          <w:szCs w:val="28"/>
        </w:rPr>
      </w:pPr>
      <w:r>
        <w:rPr>
          <w:bCs/>
          <w:sz w:val="28"/>
          <w:szCs w:val="28"/>
          <w:lang w:val="vi-VN"/>
        </w:rPr>
        <w:t xml:space="preserve">Đọc sách là một quá trình tích lũy và nâng cao tri thức; là cơ hội để mỗi người được tiếp cận với khối lượng tri thức khổng lồ. Dân tộc Việt Nam vốn hiếu học và ham đọc sách, đó là một nét đẹp trong truyền thống văn hóa của dân tộc. Tuy nhiên, truyền thống quý báu ấy đang dần bị mai một.  </w:t>
      </w:r>
    </w:p>
    <w:p>
      <w:pPr>
        <w:ind w:firstLine="720"/>
        <w:jc w:val="both"/>
        <w:rPr>
          <w:bCs/>
          <w:sz w:val="28"/>
          <w:szCs w:val="28"/>
        </w:rPr>
      </w:pPr>
      <w:r>
        <w:rPr>
          <w:bCs/>
          <w:sz w:val="28"/>
          <w:szCs w:val="28"/>
        </w:rPr>
        <w:t>Nhận thấy tầm quan trọng, vào ngày 24/2/2014 Thủ tướng Chính phủ đã quyết định lấy ngày 21/4 hằng năm làm ngày Sách Việt Nam. Việc làm này có ý nghĩa to lớn giúp nhân dân có thể phát huy được toàn vẹn tri thức, kỹ năng và vẫn giữ được bản sắc hiếu học từ bao đời của dân ta.</w:t>
      </w:r>
    </w:p>
    <w:p>
      <w:pPr>
        <w:pStyle w:val="2"/>
        <w:spacing w:before="120" w:after="120" w:line="240" w:lineRule="auto"/>
        <w:ind w:firstLine="720"/>
        <w:jc w:val="both"/>
        <w:rPr>
          <w:b w:val="0"/>
          <w:color w:val="333333"/>
          <w:sz w:val="28"/>
          <w:szCs w:val="28"/>
        </w:rPr>
      </w:pPr>
      <w:r>
        <w:rPr>
          <w:b w:val="0"/>
          <w:color w:val="333333"/>
          <w:sz w:val="28"/>
          <w:szCs w:val="28"/>
        </w:rPr>
        <w:t>Ngày Sách và Văn hóa đọc Việt Nam diễn ra vào ngày 21/4 để nâng cao văn hóa đọc sách. 2023 là năm thứ 9 diễn ra ngày Sách Việt Nam.</w:t>
      </w:r>
    </w:p>
    <w:p>
      <w:pPr>
        <w:ind w:firstLine="720"/>
        <w:jc w:val="both"/>
        <w:rPr>
          <w:sz w:val="28"/>
          <w:szCs w:val="28"/>
        </w:rPr>
      </w:pPr>
      <w:r>
        <w:rPr>
          <w:sz w:val="28"/>
          <w:szCs w:val="28"/>
        </w:rPr>
        <w:t>Để đưa văn hóa đọc phát triển lên tầm cao mới, </w:t>
      </w:r>
      <w:r>
        <w:rPr>
          <w:bCs/>
          <w:sz w:val="28"/>
          <w:szCs w:val="28"/>
        </w:rPr>
        <w:t>ngày 4/11/2021 Thủ tướng Chính phủ đã có quyết định về việc tổ chức Ngày Sách và Văn hóa đọc Việt Nam thay thế cho Ngày Sách Việt Nam trước đây</w:t>
      </w:r>
      <w:r>
        <w:rPr>
          <w:sz w:val="28"/>
          <w:szCs w:val="28"/>
        </w:rPr>
        <w:t> và vẫn được diễn ra vào ngày 21/4 hằng năm.</w:t>
      </w:r>
    </w:p>
    <w:p>
      <w:pPr>
        <w:ind w:firstLine="720"/>
        <w:jc w:val="both"/>
        <w:rPr>
          <w:b/>
          <w:bCs/>
          <w:i/>
        </w:rPr>
      </w:pPr>
      <w:r>
        <w:rPr>
          <w:sz w:val="28"/>
          <w:szCs w:val="28"/>
        </w:rPr>
        <w:t>Năm 2023, ngày Sách và Văn hóa đọc Việt Nam được </w:t>
      </w:r>
      <w:r>
        <w:rPr>
          <w:bCs/>
          <w:sz w:val="28"/>
          <w:szCs w:val="28"/>
        </w:rPr>
        <w:t>diễn ra vào ngày 21/4/2023 (Thứ sáu)</w:t>
      </w:r>
      <w:r>
        <w:rPr>
          <w:bCs/>
        </w:rPr>
        <w:t xml:space="preserve"> với</w:t>
      </w:r>
      <w:r>
        <w:rPr>
          <w:bCs/>
          <w:sz w:val="28"/>
          <w:szCs w:val="28"/>
        </w:rPr>
        <w:t xml:space="preserve"> chủ đề </w:t>
      </w:r>
      <w:r>
        <w:rPr>
          <w:b/>
          <w:bCs/>
          <w:i/>
          <w:sz w:val="28"/>
          <w:szCs w:val="28"/>
        </w:rPr>
        <w:t>“Sách: Nhận thức - Đổi mới - Sáng tạo” - “Sách cho tôi, cho bạn”.</w:t>
      </w:r>
    </w:p>
    <w:p>
      <w:pPr>
        <w:spacing w:before="120" w:after="120"/>
        <w:ind w:left="360"/>
        <w:jc w:val="both"/>
        <w:rPr>
          <w:b/>
          <w:i/>
          <w:sz w:val="28"/>
          <w:szCs w:val="28"/>
        </w:rPr>
      </w:pPr>
      <w:r>
        <w:rPr>
          <w:b/>
          <w:sz w:val="28"/>
          <w:szCs w:val="28"/>
          <w:lang w:val="vi-VN"/>
        </w:rPr>
        <w:t xml:space="preserve">3. </w:t>
      </w:r>
      <w:r>
        <w:rPr>
          <w:b/>
          <w:sz w:val="28"/>
          <w:szCs w:val="28"/>
        </w:rPr>
        <w:t xml:space="preserve">Kỷ niệm 153 năm Ngày sinh VI.Lenin </w:t>
      </w:r>
      <w:r>
        <w:rPr>
          <w:b/>
          <w:i/>
          <w:sz w:val="28"/>
          <w:szCs w:val="28"/>
        </w:rPr>
        <w:t>(22/4/1870 – 22/4/2023)</w:t>
      </w:r>
    </w:p>
    <w:p>
      <w:pPr>
        <w:spacing w:before="120" w:after="120"/>
        <w:ind w:left="360"/>
        <w:jc w:val="center"/>
        <w:rPr>
          <w:b/>
          <w:i/>
          <w:sz w:val="28"/>
          <w:szCs w:val="28"/>
          <w:lang w:val="vi-VN"/>
        </w:rPr>
      </w:pPr>
      <w:r>
        <w:rPr>
          <w:b/>
          <w:i/>
          <w:sz w:val="28"/>
          <w:szCs w:val="28"/>
          <w:lang w:val="vi-VN"/>
        </w:rPr>
        <w:t>V.I. Lênin – Nhà tư tưởng vĩ đại, lãnh tụ thiên tài của giai cấp công nhân, nhân dân lao động và các dân tộc bị áp bức trên toàn thế giới</w:t>
      </w:r>
    </w:p>
    <w:p>
      <w:pPr>
        <w:spacing w:before="120" w:after="120"/>
        <w:ind w:firstLine="567"/>
        <w:jc w:val="both"/>
        <w:rPr>
          <w:bCs/>
          <w:sz w:val="28"/>
          <w:szCs w:val="28"/>
        </w:rPr>
      </w:pPr>
      <w:r>
        <w:rPr>
          <w:bCs/>
          <w:sz w:val="28"/>
          <w:szCs w:val="28"/>
        </w:rPr>
        <w:drawing>
          <wp:inline distT="0" distB="0" distL="0" distR="0">
            <wp:extent cx="4598670" cy="3028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603801" cy="3031994"/>
                    </a:xfrm>
                    <a:prstGeom prst="rect">
                      <a:avLst/>
                    </a:prstGeom>
                  </pic:spPr>
                </pic:pic>
              </a:graphicData>
            </a:graphic>
          </wp:inline>
        </w:drawing>
      </w:r>
    </w:p>
    <w:p>
      <w:pPr>
        <w:spacing w:before="120" w:after="120"/>
        <w:ind w:left="360"/>
        <w:jc w:val="both"/>
        <w:rPr>
          <w:b/>
          <w:i/>
          <w:sz w:val="28"/>
          <w:szCs w:val="28"/>
        </w:rPr>
      </w:pPr>
      <w:r>
        <w:rPr>
          <w:bCs/>
          <w:sz w:val="28"/>
          <w:szCs w:val="28"/>
          <w:lang w:val="vi-VN"/>
        </w:rPr>
        <w:t>Với lòng kính trọng và biết ơn sâu sắc đối với các Lãnh tụ của giai cấp công nhân, nhân dân lao động và các dân tộc bị áp bức trên toàn thế giới, hôm nay chúng ta thành kính kỷ niệm 15</w:t>
      </w:r>
      <w:r>
        <w:rPr>
          <w:bCs/>
          <w:sz w:val="28"/>
          <w:szCs w:val="28"/>
        </w:rPr>
        <w:t>3</w:t>
      </w:r>
      <w:r>
        <w:rPr>
          <w:bCs/>
          <w:sz w:val="28"/>
          <w:szCs w:val="28"/>
          <w:lang w:val="vi-VN"/>
        </w:rPr>
        <w:t xml:space="preserve"> năm</w:t>
      </w:r>
      <w:r>
        <w:rPr>
          <w:bCs/>
          <w:sz w:val="28"/>
          <w:szCs w:val="28"/>
        </w:rPr>
        <w:t xml:space="preserve"> </w:t>
      </w:r>
      <w:r>
        <w:rPr>
          <w:i/>
          <w:sz w:val="28"/>
          <w:szCs w:val="28"/>
        </w:rPr>
        <w:t>(22/4/1870 – 22/4/2023)</w:t>
      </w:r>
      <w:r>
        <w:rPr>
          <w:bCs/>
          <w:sz w:val="28"/>
          <w:szCs w:val="28"/>
          <w:lang w:val="vi-VN"/>
        </w:rPr>
        <w:t xml:space="preserve"> ngày sinh của Vlađimia Ilich Lênin – Nhà tư tưởng vĩ đại, Lãnh tụ thiên tài của giai cấp công nhân, nhân dân lao động và các dân tộc bị áp bức trên toàn thế giới, người kế tục xuất sắc sự nghiệp giải phóng con người của C.Mác, Ph.Ăng ghen, người lãnh đạo thành công Cách mạng Tháng Mười Nga vĩ đại, mở ra thời đại mới của nhân loại – thời đại quá độ từ chủ nghĩa tư bản lên chủ nghĩa xã hội.</w:t>
      </w:r>
    </w:p>
    <w:p>
      <w:pPr>
        <w:ind w:firstLine="567"/>
        <w:jc w:val="both"/>
        <w:rPr>
          <w:b/>
          <w:sz w:val="28"/>
          <w:szCs w:val="28"/>
          <w:lang w:val="vi-VN"/>
        </w:rPr>
      </w:pPr>
      <w:r>
        <w:rPr>
          <w:b/>
          <w:sz w:val="28"/>
          <w:szCs w:val="28"/>
          <w:lang w:val="vi-VN"/>
        </w:rPr>
        <w:t xml:space="preserve">Nguồn: Tạp chí Tuyên giáo Trung ương </w:t>
      </w:r>
    </w:p>
    <w:p>
      <w:pPr>
        <w:ind w:firstLine="567"/>
        <w:jc w:val="both"/>
        <w:rPr>
          <w:bCs/>
          <w:sz w:val="28"/>
          <w:szCs w:val="28"/>
          <w:lang w:val="vi-VN"/>
        </w:rPr>
      </w:pPr>
      <w:r>
        <w:rPr>
          <w:bCs/>
          <w:sz w:val="28"/>
          <w:szCs w:val="28"/>
          <w:lang w:val="vi-VN"/>
        </w:rPr>
        <w:t xml:space="preserve">Xem thêm tại: </w:t>
      </w:r>
      <w:r>
        <w:fldChar w:fldCharType="begin"/>
      </w:r>
      <w:r>
        <w:instrText xml:space="preserve"> HYPERLINK "https://bom.so/gmqXcb" </w:instrText>
      </w:r>
      <w:r>
        <w:fldChar w:fldCharType="separate"/>
      </w:r>
      <w:r>
        <w:rPr>
          <w:rStyle w:val="51"/>
          <w:bCs/>
          <w:sz w:val="28"/>
          <w:szCs w:val="28"/>
          <w:lang w:val="vi-VN"/>
        </w:rPr>
        <w:t>https://bom.so/gmqXcb</w:t>
      </w:r>
      <w:r>
        <w:rPr>
          <w:rStyle w:val="51"/>
          <w:bCs/>
          <w:sz w:val="28"/>
          <w:szCs w:val="28"/>
          <w:lang w:val="vi-VN"/>
        </w:rPr>
        <w:fldChar w:fldCharType="end"/>
      </w:r>
      <w:r>
        <w:rPr>
          <w:bCs/>
          <w:sz w:val="28"/>
          <w:szCs w:val="28"/>
          <w:lang w:val="vi-VN"/>
        </w:rPr>
        <w:t xml:space="preserve"> </w:t>
      </w:r>
    </w:p>
    <w:p>
      <w:pPr>
        <w:ind w:left="360"/>
        <w:jc w:val="both"/>
        <w:rPr>
          <w:b/>
          <w:sz w:val="28"/>
          <w:szCs w:val="28"/>
          <w:lang w:val="vi-VN"/>
        </w:rPr>
      </w:pPr>
    </w:p>
    <w:p>
      <w:pPr>
        <w:ind w:left="360"/>
        <w:jc w:val="both"/>
        <w:rPr>
          <w:b/>
          <w:i/>
          <w:sz w:val="28"/>
          <w:szCs w:val="28"/>
        </w:rPr>
      </w:pPr>
      <w:r>
        <w:rPr>
          <w:b/>
          <w:sz w:val="28"/>
          <w:szCs w:val="28"/>
          <w:lang w:val="vi-VN"/>
        </w:rPr>
        <w:t xml:space="preserve">4. </w:t>
      </w:r>
      <w:r>
        <w:rPr>
          <w:b/>
          <w:sz w:val="28"/>
          <w:szCs w:val="28"/>
        </w:rPr>
        <w:t xml:space="preserve">Kỷ niệm 47 năm Ngày Tổng tuyển cử bầu Quốc hội của nước Việt Nam thống nhất </w:t>
      </w:r>
      <w:r>
        <w:rPr>
          <w:b/>
          <w:i/>
          <w:sz w:val="28"/>
          <w:szCs w:val="28"/>
        </w:rPr>
        <w:t>(25/4/1976 – 25/4/2023)</w:t>
      </w:r>
    </w:p>
    <w:p>
      <w:pPr>
        <w:jc w:val="center"/>
        <w:rPr>
          <w:b/>
          <w:i/>
          <w:sz w:val="28"/>
          <w:szCs w:val="28"/>
        </w:rPr>
      </w:pPr>
      <w:r>
        <w:rPr>
          <w:b/>
          <w:i/>
          <w:sz w:val="28"/>
          <w:szCs w:val="28"/>
        </w:rPr>
        <w:t>Cuộc tổng tuyển cử bầu Quốc hội</w:t>
      </w:r>
    </w:p>
    <w:p>
      <w:pPr>
        <w:jc w:val="center"/>
        <w:rPr>
          <w:b/>
          <w:i/>
          <w:sz w:val="28"/>
          <w:szCs w:val="28"/>
        </w:rPr>
      </w:pPr>
      <w:r>
        <w:rPr>
          <w:b/>
          <w:i/>
          <w:sz w:val="28"/>
          <w:szCs w:val="28"/>
        </w:rPr>
        <w:t>của nước Việt Nam thống nhất - Ngày hội non sông</w:t>
      </w:r>
    </w:p>
    <w:p>
      <w:pPr>
        <w:ind w:firstLine="567"/>
        <w:jc w:val="both"/>
        <w:rPr>
          <w:bCs/>
          <w:sz w:val="28"/>
          <w:szCs w:val="28"/>
        </w:rPr>
      </w:pPr>
      <w:r>
        <w:rPr>
          <w:bCs/>
          <w:sz w:val="28"/>
          <w:szCs w:val="28"/>
        </w:rPr>
        <w:t>Ngày 25/4/1976, cuộc Tổng tuyển cử bầu Quốc hội chung của nước Việt Nam thống nhất diễn ra sôi nổi, thành công tốt đẹp, trở thành ngày hội non sông. “Trên 23 triệu cử tri, với tư thế của người làm chủ tập thể, người chiến thắng, những con em của dân tộc Việt Nam anh hùng, đã nô nức đi làm nhà nước cao nhất”.</w:t>
      </w:r>
    </w:p>
    <w:p>
      <w:pPr>
        <w:ind w:firstLine="567"/>
        <w:jc w:val="both"/>
        <w:rPr>
          <w:bCs/>
          <w:sz w:val="28"/>
          <w:szCs w:val="28"/>
        </w:rPr>
      </w:pPr>
    </w:p>
    <w:p>
      <w:pPr>
        <w:ind w:firstLine="567"/>
        <w:jc w:val="both"/>
        <w:rPr>
          <w:bCs/>
          <w:i/>
          <w:iCs/>
        </w:rPr>
      </w:pPr>
    </w:p>
    <w:p>
      <w:pPr>
        <w:ind w:firstLine="567"/>
        <w:jc w:val="both"/>
        <w:rPr>
          <w:bCs/>
          <w:i/>
          <w:iCs/>
        </w:rPr>
      </w:pPr>
    </w:p>
    <w:p>
      <w:pPr>
        <w:ind w:firstLine="567"/>
        <w:jc w:val="both"/>
        <w:rPr>
          <w:bCs/>
          <w:i/>
          <w:iCs/>
        </w:rPr>
      </w:pPr>
    </w:p>
    <w:p>
      <w:pPr>
        <w:ind w:firstLine="567"/>
        <w:jc w:val="both"/>
        <w:rPr>
          <w:bCs/>
          <w:i/>
          <w:iCs/>
        </w:rPr>
      </w:pPr>
    </w:p>
    <w:p>
      <w:pPr>
        <w:ind w:firstLine="567"/>
        <w:jc w:val="both"/>
        <w:rPr>
          <w:bCs/>
          <w:i/>
          <w:iCs/>
        </w:rPr>
      </w:pPr>
    </w:p>
    <w:p>
      <w:pPr>
        <w:ind w:firstLine="567"/>
        <w:jc w:val="both"/>
        <w:rPr>
          <w:bCs/>
          <w:i/>
          <w:iCs/>
        </w:rPr>
      </w:pPr>
    </w:p>
    <w:p>
      <w:pPr>
        <w:ind w:firstLine="567"/>
        <w:jc w:val="center"/>
        <w:rPr>
          <w:bCs/>
          <w:i/>
          <w:iCs/>
        </w:rPr>
      </w:pPr>
      <w:r>
        <w:rPr>
          <w:bCs/>
          <w:i/>
          <w:iCs/>
        </w:rPr>
        <w:drawing>
          <wp:inline distT="0" distB="0" distL="0" distR="0">
            <wp:extent cx="4194810" cy="33813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200730" cy="3386114"/>
                    </a:xfrm>
                    <a:prstGeom prst="rect">
                      <a:avLst/>
                    </a:prstGeom>
                    <a:noFill/>
                  </pic:spPr>
                </pic:pic>
              </a:graphicData>
            </a:graphic>
          </wp:inline>
        </w:drawing>
      </w:r>
    </w:p>
    <w:p>
      <w:pPr>
        <w:jc w:val="center"/>
        <w:rPr>
          <w:bCs/>
          <w:i/>
          <w:iCs/>
        </w:rPr>
      </w:pPr>
      <w:r>
        <w:rPr>
          <w:bCs/>
          <w:sz w:val="28"/>
          <w:szCs w:val="28"/>
        </w:rPr>
        <w:drawing>
          <wp:anchor distT="0" distB="0" distL="114300" distR="114300" simplePos="0" relativeHeight="251660288" behindDoc="0" locked="0" layoutInCell="1" allowOverlap="1">
            <wp:simplePos x="0" y="0"/>
            <wp:positionH relativeFrom="column">
              <wp:posOffset>1405890</wp:posOffset>
            </wp:positionH>
            <wp:positionV relativeFrom="paragraph">
              <wp:posOffset>445770</wp:posOffset>
            </wp:positionV>
            <wp:extent cx="3668395" cy="3495675"/>
            <wp:effectExtent l="0" t="0" r="8255"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668395" cy="3495675"/>
                    </a:xfrm>
                    <a:prstGeom prst="rect">
                      <a:avLst/>
                    </a:prstGeom>
                  </pic:spPr>
                </pic:pic>
              </a:graphicData>
            </a:graphic>
          </wp:anchor>
        </w:drawing>
      </w:r>
      <w:r>
        <w:rPr>
          <w:bCs/>
          <w:i/>
          <w:iCs/>
        </w:rPr>
        <w:t>Đồng chí Nguyễn Hữu Thọ bầu cử tại hòm phiếu 176, phường Bình Tây, quận 6, TP Sài Gòn (từ 2/7/1976 được đổi tên là TP.Hồ Chí Minh). Ảnh: TTXVN</w:t>
      </w:r>
    </w:p>
    <w:p>
      <w:pPr>
        <w:ind w:firstLine="567"/>
        <w:jc w:val="both"/>
        <w:rPr>
          <w:bCs/>
          <w:i/>
          <w:iCs/>
        </w:rPr>
      </w:pPr>
    </w:p>
    <w:p>
      <w:pPr>
        <w:shd w:val="clear" w:color="auto" w:fill="FFFFFF"/>
        <w:jc w:val="center"/>
        <w:textAlignment w:val="baseline"/>
        <w:rPr>
          <w:rStyle w:val="31"/>
          <w:color w:val="333333"/>
        </w:rPr>
      </w:pPr>
      <w:r>
        <w:rPr>
          <w:rStyle w:val="31"/>
          <w:color w:val="333333"/>
        </w:rPr>
        <w:t>Sáng 25/4/1976, đồng chí Phạm Hùng, Ủy viên Bộ Chính trị, Bí thư Đảng bộ miền Nam, đại diện Đảng Lao động Việt Nam tại Chính phủ Cách mạng lâm thời Cộng hoà miền Nam Việt Nam đi bỏ phiếu bầu Quốc hội thống nhất tại tổ 509 khu vực 2, Bến Nghé, TP Sài Gòn (từ 2/7/1976 được đổi tên là TP Hồ Chí Minh). Ảnh: Văn Lượng/TTXVN</w:t>
      </w:r>
    </w:p>
    <w:p>
      <w:pPr>
        <w:shd w:val="clear" w:color="auto" w:fill="FFFFFF"/>
        <w:jc w:val="center"/>
        <w:textAlignment w:val="baseline"/>
        <w:rPr>
          <w:i/>
          <w:iCs/>
          <w:color w:val="333333"/>
        </w:rPr>
      </w:pPr>
    </w:p>
    <w:p>
      <w:pPr>
        <w:ind w:firstLine="567"/>
        <w:jc w:val="right"/>
        <w:rPr>
          <w:b/>
          <w:sz w:val="28"/>
          <w:szCs w:val="28"/>
          <w:lang w:val="vi-VN"/>
        </w:rPr>
      </w:pPr>
      <w:r>
        <w:rPr>
          <w:b/>
          <w:sz w:val="28"/>
          <w:szCs w:val="28"/>
        </w:rPr>
        <w:t>Nguồn</w:t>
      </w:r>
      <w:r>
        <w:rPr>
          <w:b/>
          <w:sz w:val="28"/>
          <w:szCs w:val="28"/>
          <w:lang w:val="vi-VN"/>
        </w:rPr>
        <w:t>: Báo Quân khu 7 Online</w:t>
      </w:r>
    </w:p>
    <w:p>
      <w:pPr>
        <w:ind w:firstLine="567"/>
        <w:jc w:val="right"/>
        <w:rPr>
          <w:bCs/>
          <w:sz w:val="28"/>
          <w:szCs w:val="28"/>
          <w:lang w:val="vi-VN"/>
        </w:rPr>
      </w:pPr>
      <w:r>
        <w:rPr>
          <w:bCs/>
          <w:sz w:val="28"/>
          <w:szCs w:val="28"/>
          <w:lang w:val="vi-VN"/>
        </w:rPr>
        <w:t xml:space="preserve">Xem thêm tại: </w:t>
      </w:r>
      <w:r>
        <w:fldChar w:fldCharType="begin"/>
      </w:r>
      <w:r>
        <w:instrText xml:space="preserve"> HYPERLINK "https://bom.so/Qhs1cz" </w:instrText>
      </w:r>
      <w:r>
        <w:fldChar w:fldCharType="separate"/>
      </w:r>
      <w:r>
        <w:rPr>
          <w:rStyle w:val="51"/>
          <w:bCs/>
          <w:sz w:val="28"/>
          <w:szCs w:val="28"/>
          <w:lang w:val="vi-VN"/>
        </w:rPr>
        <w:t>https://bom.so/Qhs1cz</w:t>
      </w:r>
      <w:r>
        <w:rPr>
          <w:rStyle w:val="51"/>
          <w:bCs/>
          <w:sz w:val="28"/>
          <w:szCs w:val="28"/>
          <w:lang w:val="vi-VN"/>
        </w:rPr>
        <w:fldChar w:fldCharType="end"/>
      </w:r>
    </w:p>
    <w:p>
      <w:pPr>
        <w:pStyle w:val="249"/>
        <w:tabs>
          <w:tab w:val="left" w:pos="851"/>
        </w:tabs>
        <w:spacing w:before="120" w:after="120"/>
        <w:ind w:left="0" w:firstLine="567"/>
        <w:jc w:val="both"/>
        <w:rPr>
          <w:rFonts w:ascii="Times New Roman" w:hAnsi="Times New Roman"/>
          <w:b/>
          <w:sz w:val="28"/>
          <w:szCs w:val="28"/>
        </w:rPr>
      </w:pPr>
      <w:r>
        <w:rPr>
          <w:rFonts w:ascii="Times New Roman" w:hAnsi="Times New Roman"/>
          <w:b/>
          <w:bCs w:val="0"/>
          <w:sz w:val="28"/>
          <w:szCs w:val="28"/>
          <w:lang w:val="vi-VN"/>
        </w:rPr>
        <w:t>5.</w:t>
      </w:r>
      <w:r>
        <w:rPr>
          <w:rFonts w:ascii="Times New Roman" w:hAnsi="Times New Roman"/>
          <w:sz w:val="28"/>
          <w:szCs w:val="28"/>
          <w:lang w:val="vi-VN"/>
        </w:rPr>
        <w:t xml:space="preserve"> </w:t>
      </w:r>
      <w:r>
        <w:rPr>
          <w:rFonts w:ascii="Times New Roman" w:hAnsi="Times New Roman"/>
          <w:b/>
          <w:sz w:val="28"/>
          <w:szCs w:val="28"/>
        </w:rPr>
        <w:t>Kỷ niệm 48 năm ngày giải phóng miền Nam, thống nhất đất nước (30/4/1975</w:t>
      </w:r>
      <w:r>
        <w:rPr>
          <w:rFonts w:ascii="Times New Roman" w:hAnsi="Times New Roman"/>
          <w:b/>
          <w:sz w:val="28"/>
          <w:szCs w:val="28"/>
          <w:lang w:val="vi-VN"/>
        </w:rPr>
        <w:t xml:space="preserve"> </w:t>
      </w:r>
      <w:r>
        <w:rPr>
          <w:rFonts w:ascii="Times New Roman" w:hAnsi="Times New Roman"/>
          <w:b/>
          <w:sz w:val="28"/>
          <w:szCs w:val="28"/>
        </w:rPr>
        <w:t>-</w:t>
      </w:r>
      <w:r>
        <w:rPr>
          <w:rFonts w:ascii="Times New Roman" w:hAnsi="Times New Roman"/>
          <w:b/>
          <w:sz w:val="28"/>
          <w:szCs w:val="28"/>
          <w:lang w:val="vi-VN"/>
        </w:rPr>
        <w:t xml:space="preserve"> </w:t>
      </w:r>
      <w:r>
        <w:rPr>
          <w:rFonts w:ascii="Times New Roman" w:hAnsi="Times New Roman"/>
          <w:b/>
          <w:sz w:val="28"/>
          <w:szCs w:val="28"/>
        </w:rPr>
        <w:t>30/4/2023)</w:t>
      </w:r>
    </w:p>
    <w:p>
      <w:pPr>
        <w:pStyle w:val="249"/>
        <w:tabs>
          <w:tab w:val="left" w:pos="851"/>
        </w:tabs>
        <w:spacing w:before="120" w:after="120"/>
        <w:ind w:left="0" w:firstLine="567"/>
        <w:jc w:val="both"/>
        <w:rPr>
          <w:rFonts w:ascii="Times New Roman" w:hAnsi="Times New Roman"/>
          <w:b/>
          <w:bCs w:val="0"/>
          <w:i/>
          <w:sz w:val="28"/>
          <w:szCs w:val="28"/>
        </w:rPr>
      </w:pPr>
      <w:r>
        <w:rPr>
          <w:rFonts w:ascii="Times New Roman" w:hAnsi="Times New Roman"/>
          <w:b/>
          <w:bCs w:val="0"/>
          <w:i/>
          <w:sz w:val="28"/>
          <w:szCs w:val="28"/>
        </w:rPr>
        <w:t>Đại thắng 30/4/1975 – Đỉnh cao chói lọi của sự nghiệp giải phóng dân tộc</w:t>
      </w:r>
    </w:p>
    <w:p>
      <w:pPr>
        <w:spacing w:before="120" w:after="120"/>
        <w:ind w:firstLine="567"/>
        <w:jc w:val="both"/>
        <w:rPr>
          <w:bCs/>
          <w:sz w:val="28"/>
          <w:szCs w:val="28"/>
        </w:rPr>
      </w:pPr>
      <w:r>
        <w:rPr>
          <w:bCs/>
          <w:sz w:val="28"/>
          <w:szCs w:val="28"/>
        </w:rPr>
        <w:t xml:space="preserve">Ngày 30/4/1975, Chiến dịch Hồ Chí Minh toàn thắng, chấm dứt 21 năm chiến đấu chống đế quốc Mỹ và chính quyền ngụy Sài Gòn. Để đi đến thắng lợi cuối cùng, dưới sự lãnh đạo của Đảng và Chủ tịch Hồ Chí Minh, quân và dân ta đã phải đối phó lần lượt với các kế hoạch chiến lược của đế quốc Mỹ, chính quyền ngụy Sài Gòn và qua 5 giai đoạn. </w:t>
      </w:r>
    </w:p>
    <w:p>
      <w:pPr>
        <w:spacing w:before="120" w:after="120"/>
        <w:ind w:firstLine="567"/>
        <w:jc w:val="both"/>
        <w:rPr>
          <w:bCs/>
          <w:sz w:val="28"/>
          <w:szCs w:val="28"/>
        </w:rPr>
      </w:pPr>
      <w:r>
        <w:rPr>
          <w:bCs/>
          <w:sz w:val="28"/>
          <w:szCs w:val="28"/>
        </w:rPr>
        <w:drawing>
          <wp:inline distT="0" distB="0" distL="0" distR="0">
            <wp:extent cx="4946650" cy="31534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966101" cy="3165889"/>
                    </a:xfrm>
                    <a:prstGeom prst="rect">
                      <a:avLst/>
                    </a:prstGeom>
                  </pic:spPr>
                </pic:pic>
              </a:graphicData>
            </a:graphic>
          </wp:inline>
        </w:drawing>
      </w:r>
    </w:p>
    <w:tbl>
      <w:tblPr>
        <w:tblStyle w:val="12"/>
        <w:tblW w:w="0" w:type="auto"/>
        <w:jc w:val="center"/>
        <w:shd w:val="clear" w:color="auto" w:fill="FFFFFF"/>
        <w:tblLayout w:type="autofit"/>
        <w:tblCellMar>
          <w:top w:w="15" w:type="dxa"/>
          <w:left w:w="15" w:type="dxa"/>
          <w:bottom w:w="15" w:type="dxa"/>
          <w:right w:w="15" w:type="dxa"/>
        </w:tblCellMar>
      </w:tblPr>
      <w:tblGrid>
        <w:gridCol w:w="9074"/>
      </w:tblGrid>
      <w:tr>
        <w:tblPrEx>
          <w:shd w:val="clear" w:color="auto" w:fill="FFFFFF"/>
          <w:tblCellMar>
            <w:top w:w="15" w:type="dxa"/>
            <w:left w:w="15" w:type="dxa"/>
            <w:bottom w:w="15" w:type="dxa"/>
            <w:right w:w="15" w:type="dxa"/>
          </w:tblCellMar>
        </w:tblPrEx>
        <w:trPr>
          <w:jc w:val="center"/>
        </w:trPr>
        <w:tc>
          <w:tcPr>
            <w:tcW w:w="0" w:type="auto"/>
            <w:shd w:val="clear" w:color="auto" w:fill="FFFFFF"/>
            <w:tcMar>
              <w:top w:w="150" w:type="dxa"/>
              <w:left w:w="0" w:type="dxa"/>
              <w:bottom w:w="150" w:type="dxa"/>
              <w:right w:w="0" w:type="dxa"/>
            </w:tcMar>
            <w:vAlign w:val="center"/>
          </w:tcPr>
          <w:p>
            <w:pPr>
              <w:jc w:val="center"/>
              <w:rPr>
                <w:i/>
                <w:iCs/>
                <w:color w:val="0070C0"/>
                <w:sz w:val="26"/>
                <w:szCs w:val="26"/>
              </w:rPr>
            </w:pPr>
            <w:r>
              <w:rPr>
                <w:i/>
                <w:iCs/>
                <w:color w:val="000000" w:themeColor="text1"/>
                <w14:textFill>
                  <w14:solidFill>
                    <w14:schemeClr w14:val="tx1"/>
                  </w14:solidFill>
                </w14:textFill>
              </w:rPr>
              <w:t>Đúng 11 giờ 30 phút ngày 30/4/1975, xe tăng của quân Giải phóng đã tiến vào dinh Tổng thống, sào huyệt cuối cùng của chế độ Ngụy quyền Sài Gòn, giải phóng miền Nam, thống nhất hoàn toàn đất nước. Ảnh: TTXVN </w:t>
            </w:r>
          </w:p>
        </w:tc>
      </w:tr>
    </w:tbl>
    <w:p>
      <w:pPr>
        <w:spacing w:before="120" w:after="120"/>
        <w:ind w:firstLine="567"/>
        <w:jc w:val="both"/>
        <w:rPr>
          <w:bCs/>
          <w:sz w:val="28"/>
          <w:szCs w:val="28"/>
        </w:rPr>
      </w:pPr>
      <w:r>
        <w:rPr>
          <w:bCs/>
          <w:sz w:val="28"/>
          <w:szCs w:val="28"/>
        </w:rPr>
        <w:t>Thắng lợi của nhân dân ta trong cuộc kháng chiến chống Mỹ, cứu nước là thành quả vĩ đại nhất của sự nghiệp giải phóng dân tộc, giải phóng xã hội do Đảng ta và Chủ tịch Hồ Chí Minh lãnh đạo; là trang sử hào hùng và chói lọi trên con đường dựng nước và giữ nước mấy nghìn năm lịch sử của dân tộc; đánh dấu bước ngoặt quyết định, đưa đất nước ta bước vào kỷ nguyên độc lập, tự do, cả nước vững bước đi lên chủ nghĩa xã hội. Thắng lợi đó cũng là thắng lợi tiêu biểu của lực lượng cách mạng thế giới; góp phần thúc đẩy mạnh mẽ cuộc đấu tranh của nhân dân thế giới vì mục tiêu độc lập, hòa bình, dân chủ và tiến bộ xã hội; cổ vũ, động viên, khích lệ các dân tộc đang tiến hành công cuộc giải phóng dân tộc, chống chủ nghĩa đế quốc, mở đầu sự phá sản của chủ nghĩa thực dân mới trên toàn thế giới.</w:t>
      </w:r>
    </w:p>
    <w:p>
      <w:pPr>
        <w:spacing w:before="120" w:after="120"/>
        <w:jc w:val="right"/>
        <w:rPr>
          <w:b/>
          <w:sz w:val="28"/>
          <w:szCs w:val="28"/>
          <w:lang w:val="vi-VN"/>
        </w:rPr>
      </w:pPr>
      <w:r>
        <w:rPr>
          <w:b/>
          <w:sz w:val="28"/>
          <w:szCs w:val="28"/>
        </w:rPr>
        <w:t>Nguồn</w:t>
      </w:r>
      <w:r>
        <w:rPr>
          <w:b/>
          <w:sz w:val="28"/>
          <w:szCs w:val="28"/>
          <w:lang w:val="vi-VN"/>
        </w:rPr>
        <w:t>: Báo Đảng Cộng sản Việt Nam</w:t>
      </w:r>
    </w:p>
    <w:p>
      <w:pPr>
        <w:spacing w:before="120" w:after="120"/>
        <w:jc w:val="right"/>
        <w:rPr>
          <w:bCs/>
          <w:i/>
          <w:sz w:val="28"/>
          <w:szCs w:val="28"/>
        </w:rPr>
      </w:pPr>
      <w:r>
        <w:rPr>
          <w:bCs/>
          <w:i/>
          <w:sz w:val="28"/>
          <w:szCs w:val="28"/>
          <w:lang w:val="vi-VN"/>
        </w:rPr>
        <w:t xml:space="preserve">Xem thêm tại: </w:t>
      </w:r>
      <w:r>
        <w:fldChar w:fldCharType="begin"/>
      </w:r>
      <w:r>
        <w:instrText xml:space="preserve"> HYPERLINK "https://bom.so/Hd8FmX" </w:instrText>
      </w:r>
      <w:r>
        <w:fldChar w:fldCharType="separate"/>
      </w:r>
      <w:r>
        <w:rPr>
          <w:rStyle w:val="51"/>
          <w:bCs/>
          <w:i/>
          <w:sz w:val="28"/>
          <w:szCs w:val="28"/>
          <w:lang w:val="vi-VN"/>
        </w:rPr>
        <w:t>https://bom.so/Hd8FmX</w:t>
      </w:r>
      <w:r>
        <w:rPr>
          <w:rStyle w:val="51"/>
          <w:bCs/>
          <w:i/>
          <w:sz w:val="28"/>
          <w:szCs w:val="28"/>
          <w:lang w:val="vi-VN"/>
        </w:rPr>
        <w:fldChar w:fldCharType="end"/>
      </w:r>
      <w:r>
        <w:rPr>
          <w:bCs/>
          <w:i/>
          <w:sz w:val="28"/>
          <w:szCs w:val="28"/>
          <w:lang w:val="vi-VN"/>
        </w:rPr>
        <w:t xml:space="preserve"> </w:t>
      </w:r>
    </w:p>
    <w:p>
      <w:pPr>
        <w:spacing w:after="120"/>
        <w:ind w:firstLine="720"/>
        <w:jc w:val="both"/>
        <w:rPr>
          <w:b/>
          <w:i/>
          <w:sz w:val="28"/>
          <w:szCs w:val="28"/>
        </w:rPr>
      </w:pPr>
      <w:r>
        <w:rPr>
          <w:b/>
          <w:i/>
          <w:sz w:val="28"/>
          <w:szCs w:val="28"/>
        </w:rPr>
        <w:t>Chiến thắng lịch sử 30/4/1975 - Biểu tượng sáng ngời của chủ nghĩa anh hùng cách mạng</w:t>
      </w:r>
    </w:p>
    <w:p>
      <w:pPr>
        <w:spacing w:after="120"/>
        <w:ind w:firstLine="720"/>
        <w:jc w:val="both"/>
        <w:rPr>
          <w:sz w:val="28"/>
        </w:rPr>
      </w:pPr>
      <w:r>
        <w:rPr>
          <w:sz w:val="28"/>
        </w:rPr>
        <w:t>Dưới sự lãnh đạo của Đảng Cộng sản Việt Nam, với tinh thần chiến đấu dũng cảm, mưu trí, sáng tạo của quân và dân ta, được sự ủng hộ và giúp đỡ nhiệt tình của bạn bè quốc tế, bằng sức mạnh tổng hợp của chiến tranh nhân dân, quân và dân ta đã tiến hành thắng lợi Cuộc Tổng tiến công và nổi dậy mùa Xuân 1975 mà đỉnh cao là Chiến dịch Hồ Chí Minh lịch sử, giải phóng hoàn toàn miền Nam, thống nhất Tổ quốc, đưa cả nước tiến lên Chủ nghĩa xã hội.</w:t>
      </w:r>
    </w:p>
    <w:p>
      <w:pPr>
        <w:spacing w:after="120"/>
        <w:ind w:firstLine="720"/>
        <w:jc w:val="both"/>
        <w:rPr>
          <w:sz w:val="28"/>
        </w:rPr>
      </w:pPr>
      <w:r>
        <w:rPr>
          <w:sz w:val="28"/>
        </w:rPr>
        <w:t>Chỉ tính riêng kết quả thắng lợi trong Chiến dịch Hồ Chí Minh lịch sử, từ ngày 26/4/1975 đến ngày 30/4/1975, quân và dân ta đã tiêu diệt và làm tan rã toàn bộ quân chủ lực, quân địa phương thuộc Quân khu 3 ngụy Sài Gòn, lực lượng của quân khu 1 và 2 của địch chạy về cố thủ và chi viện cho các đơn vị ở Sài Gòn - Gia Định,… giải phóng hoàn toàn Sài Gòn - Gia Định, góp phần quyết định vào giải phóng hoàn toàn miền Nam, thống nhất Tổ quốc.</w:t>
      </w:r>
    </w:p>
    <w:p>
      <w:pPr>
        <w:spacing w:after="120"/>
        <w:ind w:firstLine="720"/>
        <w:jc w:val="both"/>
        <w:rPr>
          <w:sz w:val="28"/>
        </w:rPr>
      </w:pPr>
      <w:r>
        <w:rPr>
          <w:sz w:val="28"/>
        </w:rPr>
        <w:t>Một trong những nguyên nhân dẫn đến thắng lợi của Chiến dịch Hồ Chí Minh lịch sử năm 1975, là nhờ có sự lãnh đạo đúng đắn, sáng suốt của Đảng ta và Chủ tịch Hồ Chí Minh. Đảng ta đã giải quyết đúng đắn và sáng tạo mối quan hệ giữa cách mạng và chiến tranh cách mạng; giải quyết thành công nhiều vấn đề cơ bản về đường lối cách mạng, xây dựng lực lượng vũ trang cách mạng và phương pháp cách mạng, về phương thức tiến hành chiến tranh và nghệ thuật quân sự trong chiến tranh giải phóng dân tộc; Đảng đã phát huy cao độ trí tuệ và bản lĩnh của con người Việt Nam trong thời đại Hồ Chí Minh để đánh thắng chiến tranh xâm lược của chủ nghĩa đế quốc,…</w:t>
      </w:r>
    </w:p>
    <w:p>
      <w:pPr>
        <w:spacing w:after="120"/>
        <w:ind w:firstLine="720"/>
        <w:jc w:val="both"/>
        <w:rPr>
          <w:sz w:val="28"/>
        </w:rPr>
      </w:pPr>
      <w:r>
        <w:rPr>
          <w:sz w:val="28"/>
        </w:rPr>
        <w:t>Thắng lợi của Chiến dịch Hồ Chí Minh lịch sử 1975 có giá trị, ý nghĩa lịch sử và hiện thực sâu sắc đối với cách mạng nước ta, đối với sự nghiệp đổi mới đất nước, xây dựng và bảo vệ Tổ quốc Việt Nam xã hội chủ nghĩa. Từ đây, nhân dân ta đã vĩnh viễn thoát khỏi ách nô dịch của các nước đế quốc, vĩnh viễn thoát khỏi sự chia cắt giữa 2 miền đất nước, giải phóng hoàn toàn miền Nam, hoàn thành cách mạng dân tộc dân chủ nhân dân trên cả nước, bảo vệ những thành quả bước đầu của cách mạng xã hội chủ nghĩa ở miền Bắc, đưa cả nước bước vào kỷ nguyên mới: Kỷ nguyên độc lập, tự do, thống nhất Tổ quốc và xây dựng chủ nghĩa xã hội.</w:t>
      </w:r>
    </w:p>
    <w:p>
      <w:pPr>
        <w:spacing w:after="120"/>
        <w:ind w:firstLine="720"/>
        <w:jc w:val="both"/>
        <w:rPr>
          <w:sz w:val="28"/>
        </w:rPr>
      </w:pPr>
      <w:r>
        <w:rPr>
          <w:sz w:val="28"/>
        </w:rPr>
        <w:t>Thắng lợi của Chiến dịch Hồ Chí Minh lịch sử 1975 đã đưa Việt Nam từ một đất nước bị nước ngoài xâm chiếm, từ một dân tộc bị nô lệ, đã đứng lên giành lại nền độc lập sau gần một thế kỷ mất nước và trở thành một quốc gia độc lập, thống nhất, có đầy đủ chủ quyền được pháp lý quốc tế thừa nhận, tôn trọng.</w:t>
      </w:r>
    </w:p>
    <w:p>
      <w:pPr>
        <w:spacing w:after="120"/>
        <w:ind w:firstLine="720"/>
        <w:jc w:val="both"/>
        <w:rPr>
          <w:sz w:val="28"/>
        </w:rPr>
      </w:pPr>
      <w:r>
        <w:rPr>
          <w:sz w:val="28"/>
        </w:rPr>
        <w:t>Đối với các dân tộc bị áp bức trên thế giới, thắng lợi của cuộc kháng chiến chống Mỹ, cứu nước của nhân dân ta đã thức tỉnh, cổ vũ hàng trăm triệu người đứng lên dũng cảm đấu tranh chống chủ nghĩa thực dân cũ và mới, giành lại độc lập dân tộc, đưa đất nước tiến vào quỹ đạo xây dựng chủ nghĩa xã hội, đem lại cơm no, áo ấm, hạnh phúc cho nhân dân.</w:t>
      </w:r>
    </w:p>
    <w:p>
      <w:pPr>
        <w:spacing w:after="120"/>
        <w:ind w:firstLine="720"/>
        <w:jc w:val="both"/>
        <w:rPr>
          <w:sz w:val="28"/>
        </w:rPr>
      </w:pPr>
      <w:r>
        <w:rPr>
          <w:sz w:val="28"/>
        </w:rPr>
        <w:t>Chiến thắng 30/4/1975, cũng chính là thắng lợi của Chủ nghĩa MácLênin, tư tưởng Hồ Chí Minh, thắng lợi của đường lối và phương hướng cách mạng đúng đắn của Đảng Cộng sản Việt Nam, đường lối giương cao ngọn cờ độc lập dân tộc và chủ nghĩa xã hội, đường lối chiến tranh nhân dân, toàn dân, toàn diện, tự lực, tự cường, vừa kháng chiến, vừa kiến quốc. Ngày nay, chúng ta đang đẩy mạnh sự nghiệp công nghiệp hóa, hiện đại hóa đất nước, để phát huy tinh thần Chiến thắng 30/4/1975, toàn Đảng, toàn quân và toàn dân ta cần ra sức phấn đấu, nêu cao tinh thần yêu nước, yêu chủ nghĩa xã hội, phát huy cao độ chủ nghĩa anh hùng cách mạng; lao động, học tập và công tác một cách khoa học, sáng tạo, có chất lượng, hiệu quả cao, cùng chung tay góp phần xây dựng đất nước ngày càng đàng hoàng hơn, to đẹp hơn như mong ước của Chủ tịch Hồ Chí Minh kính yêu trong Di chúc mà người để lại./</w:t>
      </w:r>
    </w:p>
    <w:p>
      <w:pPr>
        <w:spacing w:after="120"/>
        <w:ind w:firstLine="720"/>
        <w:jc w:val="right"/>
        <w:rPr>
          <w:i/>
          <w:sz w:val="28"/>
        </w:rPr>
      </w:pPr>
      <w:r>
        <w:rPr>
          <w:i/>
          <w:sz w:val="28"/>
        </w:rPr>
        <w:t>Nguồn: Đại học Chính trị - Bộ Quốc phòng</w:t>
      </w:r>
    </w:p>
    <w:p>
      <w:pPr>
        <w:rPr>
          <w:b/>
          <w:bCs/>
          <w:spacing w:val="-2"/>
          <w:sz w:val="28"/>
          <w:szCs w:val="28"/>
        </w:rPr>
      </w:pPr>
    </w:p>
    <w:p>
      <w:pPr>
        <w:rPr>
          <w:b/>
          <w:i/>
          <w:sz w:val="28"/>
          <w:szCs w:val="28"/>
          <w:lang w:val="vi-VN"/>
        </w:rPr>
      </w:pPr>
      <w:r>
        <w:rPr>
          <w:b/>
          <w:sz w:val="28"/>
          <w:szCs w:val="28"/>
          <w:lang w:val="vi-VN"/>
        </w:rPr>
        <w:t>6. Ngày Giỗ tổ Hùng V</w:t>
      </w:r>
      <w:r>
        <w:rPr>
          <w:rFonts w:hint="eastAsia"/>
          <w:b/>
          <w:sz w:val="28"/>
          <w:szCs w:val="28"/>
          <w:lang w:val="vi-VN"/>
        </w:rPr>
        <w:t>ươ</w:t>
      </w:r>
      <w:r>
        <w:rPr>
          <w:b/>
          <w:sz w:val="28"/>
          <w:szCs w:val="28"/>
          <w:lang w:val="vi-VN"/>
        </w:rPr>
        <w:t xml:space="preserve">ng </w:t>
      </w:r>
      <w:r>
        <w:rPr>
          <w:b/>
          <w:i/>
          <w:sz w:val="28"/>
          <w:szCs w:val="28"/>
          <w:lang w:val="vi-VN"/>
        </w:rPr>
        <w:t>(Mùng 10 tháng 3 âm lịch)</w:t>
      </w:r>
    </w:p>
    <w:p>
      <w:pPr>
        <w:rPr>
          <w:b/>
          <w:i/>
          <w:sz w:val="28"/>
          <w:szCs w:val="28"/>
          <w:lang w:val="vi-VN"/>
        </w:rPr>
      </w:pPr>
      <w:r>
        <w:rPr>
          <w:b/>
          <w:i/>
          <w:sz w:val="28"/>
          <w:szCs w:val="28"/>
          <w:lang w:val="vi-VN"/>
        </w:rPr>
        <w:t>Giỗ Tổ Hùng Vương - Giá trị dân tộc và nhân loại</w:t>
      </w:r>
    </w:p>
    <w:p>
      <w:pPr>
        <w:spacing w:before="120" w:after="120"/>
        <w:jc w:val="both"/>
        <w:rPr>
          <w:bCs/>
          <w:sz w:val="28"/>
          <w:szCs w:val="28"/>
        </w:rPr>
      </w:pPr>
      <w:r>
        <w:rPr>
          <w:bCs/>
          <w:i/>
          <w:sz w:val="28"/>
          <w:szCs w:val="28"/>
          <w:lang w:val="vi-VN"/>
        </w:rPr>
        <w:t>“Dù ai đi ngược về xuôi/ Nhớ ngày giỗ Tổ mùng Mười tháng Ba”.</w:t>
      </w:r>
      <w:r>
        <w:rPr>
          <w:bCs/>
          <w:sz w:val="28"/>
          <w:szCs w:val="28"/>
          <w:lang w:val="vi-VN"/>
        </w:rPr>
        <w:t xml:space="preserve"> Câu ca dao cho thấy ý nghĩa thiêng liêng và gần gũi của ngày giỗ Tổ Hùng Vương trong tâm thức của mỗi người dân Việt. Tín ngưỡng thờ cúng Hùng Vương của dân tộc đã vượt ra khỏi ranh giới quốc gia để trở thành di sản văn hóa chung của cả nhân loại.</w:t>
      </w:r>
    </w:p>
    <w:p>
      <w:pPr>
        <w:spacing w:before="120" w:after="120"/>
        <w:ind w:firstLine="567"/>
        <w:jc w:val="both"/>
        <w:rPr>
          <w:bCs/>
          <w:sz w:val="28"/>
          <w:szCs w:val="28"/>
        </w:rPr>
      </w:pPr>
      <w:r>
        <w:rPr>
          <w:bCs/>
          <w:sz w:val="28"/>
          <w:szCs w:val="28"/>
        </w:rPr>
        <w:drawing>
          <wp:inline distT="0" distB="0" distL="0" distR="0">
            <wp:extent cx="4808855" cy="2705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812956" cy="2707222"/>
                    </a:xfrm>
                    <a:prstGeom prst="rect">
                      <a:avLst/>
                    </a:prstGeom>
                  </pic:spPr>
                </pic:pic>
              </a:graphicData>
            </a:graphic>
          </wp:inline>
        </w:drawing>
      </w:r>
    </w:p>
    <w:p>
      <w:pPr>
        <w:ind w:firstLine="567"/>
        <w:jc w:val="both"/>
        <w:rPr>
          <w:spacing w:val="-2"/>
          <w:sz w:val="28"/>
          <w:szCs w:val="28"/>
        </w:rPr>
      </w:pPr>
      <w:r>
        <w:rPr>
          <w:spacing w:val="-2"/>
          <w:sz w:val="28"/>
          <w:szCs w:val="28"/>
          <w:lang w:val="vi-VN"/>
        </w:rPr>
        <w:t xml:space="preserve">Gìn giữ và phát huy giá trị vô giá của </w:t>
      </w:r>
      <w:r>
        <w:rPr>
          <w:i/>
          <w:spacing w:val="-2"/>
          <w:sz w:val="28"/>
          <w:szCs w:val="28"/>
          <w:lang w:val="vi-VN"/>
        </w:rPr>
        <w:t>“Tín ngưỡng thờ cúng Hùng Vương”</w:t>
      </w:r>
      <w:r>
        <w:rPr>
          <w:spacing w:val="-2"/>
          <w:sz w:val="28"/>
          <w:szCs w:val="28"/>
          <w:lang w:val="vi-VN"/>
        </w:rPr>
        <w:t xml:space="preserve"> theo đúng những chuẩn mực truyền thống, những tinh hoa mà cha ông đã đúc kết, cũng là góp phần gìn giữ di sản tinh thần cho nhân loại nói chung là vấn đề luôn luôn cần được quan tâm một cách cẩn trọng và sâu sắc.</w:t>
      </w:r>
    </w:p>
    <w:p>
      <w:pPr>
        <w:ind w:firstLine="567"/>
        <w:jc w:val="both"/>
        <w:rPr>
          <w:spacing w:val="-2"/>
          <w:sz w:val="28"/>
          <w:szCs w:val="28"/>
        </w:rPr>
      </w:pPr>
    </w:p>
    <w:p>
      <w:pPr>
        <w:ind w:firstLine="567"/>
        <w:jc w:val="right"/>
        <w:rPr>
          <w:b/>
          <w:bCs/>
          <w:spacing w:val="-2"/>
          <w:sz w:val="28"/>
          <w:szCs w:val="28"/>
          <w:lang w:val="vi-VN"/>
        </w:rPr>
      </w:pPr>
      <w:r>
        <w:rPr>
          <w:b/>
          <w:bCs/>
          <w:spacing w:val="-2"/>
          <w:sz w:val="28"/>
          <w:szCs w:val="28"/>
          <w:lang w:val="vi-VN"/>
        </w:rPr>
        <w:t>Nguồn: Báo Đảng Cộng sản Việt Nam</w:t>
      </w:r>
    </w:p>
    <w:p>
      <w:pPr>
        <w:ind w:firstLine="567"/>
        <w:jc w:val="right"/>
        <w:rPr>
          <w:rStyle w:val="51"/>
          <w:spacing w:val="-2"/>
          <w:sz w:val="28"/>
          <w:szCs w:val="28"/>
        </w:rPr>
      </w:pPr>
      <w:r>
        <w:rPr>
          <w:spacing w:val="-2"/>
          <w:sz w:val="28"/>
          <w:szCs w:val="28"/>
          <w:lang w:val="vi-VN"/>
        </w:rPr>
        <w:t xml:space="preserve">Xem thêm tại: </w:t>
      </w:r>
      <w:r>
        <w:fldChar w:fldCharType="begin"/>
      </w:r>
      <w:r>
        <w:instrText xml:space="preserve"> HYPERLINK "https://bom.so/NZ8nx9" </w:instrText>
      </w:r>
      <w:r>
        <w:fldChar w:fldCharType="separate"/>
      </w:r>
      <w:r>
        <w:rPr>
          <w:rStyle w:val="51"/>
          <w:spacing w:val="-2"/>
          <w:sz w:val="28"/>
          <w:szCs w:val="28"/>
          <w:lang w:val="vi-VN"/>
        </w:rPr>
        <w:t>https://bom.so/NZ8nx9</w:t>
      </w:r>
      <w:r>
        <w:rPr>
          <w:rStyle w:val="51"/>
          <w:spacing w:val="-2"/>
          <w:sz w:val="28"/>
          <w:szCs w:val="28"/>
          <w:lang w:val="vi-VN"/>
        </w:rPr>
        <w:fldChar w:fldCharType="end"/>
      </w:r>
    </w:p>
    <w:p>
      <w:pPr>
        <w:rPr>
          <w:spacing w:val="-2"/>
          <w:sz w:val="28"/>
          <w:szCs w:val="28"/>
        </w:rPr>
      </w:pPr>
    </w:p>
    <w:p>
      <w:pPr>
        <w:shd w:val="clear" w:color="auto" w:fill="00B0F0"/>
        <w:tabs>
          <w:tab w:val="left" w:pos="4410"/>
          <w:tab w:val="left" w:pos="5400"/>
        </w:tabs>
        <w:spacing w:before="120" w:after="120"/>
        <w:ind w:right="4484"/>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III. CÔNG TÁC CHUYỂN ĐỔI SỐ</w:t>
      </w:r>
    </w:p>
    <w:p>
      <w:pPr>
        <w:shd w:val="clear" w:color="auto" w:fill="FFFFFF"/>
        <w:jc w:val="both"/>
        <w:rPr>
          <w:b/>
          <w:i/>
          <w:color w:val="050505"/>
          <w:sz w:val="28"/>
          <w:szCs w:val="28"/>
        </w:rPr>
      </w:pPr>
      <w:r>
        <w:rPr>
          <w:b/>
          <w:i/>
          <w:sz w:val="28"/>
          <w:szCs w:val="28"/>
          <w:lang w:val="vi-VN"/>
        </w:rPr>
        <w:t xml:space="preserve"> </w:t>
      </w:r>
      <w:r>
        <w:rPr>
          <w:b/>
          <w:i/>
          <w:color w:val="050505"/>
          <w:sz w:val="28"/>
          <w:szCs w:val="28"/>
        </w:rPr>
        <w:t>Bến Tre ra mắt “Sổ tay điện tử cán bộ đoàn”, App “Cán bộ đoàn Bến Tre”, “Cổng thông tin kết nối tình nguyện”, "Cổng thi đua khen thưởng” trực tuyến Tỉnh đoàn Bến Tre.</w:t>
      </w:r>
    </w:p>
    <w:p>
      <w:pPr>
        <w:shd w:val="clear" w:color="auto" w:fill="FFFFFF"/>
        <w:jc w:val="both"/>
        <w:rPr>
          <w:color w:val="050505"/>
          <w:sz w:val="28"/>
          <w:szCs w:val="28"/>
        </w:rPr>
      </w:pPr>
      <w:r>
        <w:rPr>
          <w:color w:val="050505"/>
          <w:sz w:val="28"/>
          <w:szCs w:val="28"/>
        </w:rPr>
        <w:t>---------------------</w:t>
      </w:r>
    </w:p>
    <w:p>
      <w:pPr>
        <w:shd w:val="clear" w:color="auto" w:fill="FFFFFF"/>
        <w:ind w:firstLine="720"/>
        <w:jc w:val="both"/>
        <w:rPr>
          <w:color w:val="050505"/>
          <w:sz w:val="28"/>
          <w:szCs w:val="28"/>
        </w:rPr>
      </w:pPr>
      <w:r>
        <w:rPr>
          <w:color w:val="050505"/>
          <w:sz w:val="28"/>
          <w:szCs w:val="28"/>
        </w:rPr>
        <w:t>Vừa qua, Ban Thường vụ Tỉnh đoàn phối hợp Viettel Bến Tre tiến hành ra mắt “Sổ tay điện tử cán bộ Đoàn” tỉnh Bến Tre, App “Cán bộ đoàn Bến Tre”, "Cổng thông tin kết nối tình nguyện", "Cổng thi đua khen thưởng" trực tuyến.</w:t>
      </w:r>
    </w:p>
    <w:p>
      <w:pPr>
        <w:shd w:val="clear" w:color="auto" w:fill="FFFFFF"/>
        <w:jc w:val="both"/>
        <w:rPr>
          <w:color w:val="050505"/>
          <w:sz w:val="28"/>
          <w:szCs w:val="28"/>
        </w:rPr>
      </w:pPr>
    </w:p>
    <w:p>
      <w:pPr>
        <w:shd w:val="clear" w:color="auto" w:fill="FFFFFF"/>
        <w:jc w:val="center"/>
        <w:rPr>
          <w:color w:val="050505"/>
          <w:sz w:val="28"/>
          <w:szCs w:val="28"/>
        </w:rPr>
      </w:pPr>
      <w:r>
        <w:rPr>
          <w:color w:val="050505"/>
          <w:sz w:val="28"/>
          <w:szCs w:val="28"/>
        </w:rPr>
        <w:drawing>
          <wp:inline distT="0" distB="0" distL="0" distR="0">
            <wp:extent cx="5162550" cy="3295015"/>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64333" cy="3296431"/>
                    </a:xfrm>
                    <a:prstGeom prst="rect">
                      <a:avLst/>
                    </a:prstGeom>
                  </pic:spPr>
                </pic:pic>
              </a:graphicData>
            </a:graphic>
          </wp:inline>
        </w:drawing>
      </w:r>
    </w:p>
    <w:p>
      <w:pPr>
        <w:shd w:val="clear" w:color="auto" w:fill="FFFFFF"/>
        <w:jc w:val="both"/>
        <w:rPr>
          <w:color w:val="050505"/>
          <w:sz w:val="28"/>
          <w:szCs w:val="28"/>
        </w:rPr>
      </w:pPr>
    </w:p>
    <w:p>
      <w:pPr>
        <w:pStyle w:val="249"/>
        <w:numPr>
          <w:ilvl w:val="0"/>
          <w:numId w:val="11"/>
        </w:numPr>
        <w:shd w:val="clear" w:color="auto" w:fill="FFFFFF"/>
        <w:jc w:val="both"/>
        <w:rPr>
          <w:rFonts w:ascii="Times New Roman" w:hAnsi="Times New Roman"/>
          <w:b/>
          <w:i/>
          <w:color w:val="050505"/>
          <w:sz w:val="28"/>
          <w:szCs w:val="28"/>
        </w:rPr>
      </w:pPr>
      <w:r>
        <w:rPr>
          <w:rFonts w:ascii="Times New Roman" w:hAnsi="Times New Roman"/>
          <w:b/>
          <w:i/>
          <w:color w:val="050505"/>
          <w:sz w:val="28"/>
          <w:szCs w:val="28"/>
        </w:rPr>
        <w:t>“Sổ tay điện tử Cán bộ đoàn” và app “Cán bộ đoàn Bến Tre”</w:t>
      </w:r>
    </w:p>
    <w:p>
      <w:pPr>
        <w:pStyle w:val="249"/>
        <w:shd w:val="clear" w:color="auto" w:fill="FFFFFF"/>
        <w:jc w:val="both"/>
        <w:rPr>
          <w:b/>
          <w:i/>
          <w:color w:val="050505"/>
          <w:sz w:val="28"/>
          <w:szCs w:val="28"/>
        </w:rPr>
      </w:pPr>
    </w:p>
    <w:p>
      <w:pPr>
        <w:shd w:val="clear" w:color="auto" w:fill="FFFFFF"/>
        <w:jc w:val="center"/>
        <w:rPr>
          <w:color w:val="050505"/>
          <w:sz w:val="28"/>
          <w:szCs w:val="28"/>
        </w:rPr>
      </w:pPr>
      <w:r>
        <w:rPr>
          <w:color w:val="050505"/>
          <w:sz w:val="28"/>
          <w:szCs w:val="28"/>
        </w:rPr>
        <w:drawing>
          <wp:inline distT="0" distB="0" distL="0" distR="0">
            <wp:extent cx="5467350" cy="31718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467350" cy="3172316"/>
                    </a:xfrm>
                    <a:prstGeom prst="rect">
                      <a:avLst/>
                    </a:prstGeom>
                  </pic:spPr>
                </pic:pic>
              </a:graphicData>
            </a:graphic>
          </wp:inline>
        </w:drawing>
      </w:r>
    </w:p>
    <w:p>
      <w:pPr>
        <w:shd w:val="clear" w:color="auto" w:fill="FFFFFF"/>
        <w:ind w:firstLine="720"/>
        <w:jc w:val="both"/>
        <w:rPr>
          <w:color w:val="050505"/>
          <w:sz w:val="28"/>
          <w:szCs w:val="28"/>
        </w:rPr>
      </w:pPr>
      <w:r>
        <w:rPr>
          <w:i/>
          <w:color w:val="050505"/>
          <w:sz w:val="28"/>
          <w:szCs w:val="28"/>
        </w:rPr>
        <w:t>“Sổ tay điện tử cán bộ Đoàn”</w:t>
      </w:r>
      <w:r>
        <w:rPr>
          <w:color w:val="050505"/>
          <w:sz w:val="28"/>
          <w:szCs w:val="28"/>
        </w:rPr>
        <w:t xml:space="preserve"> tỉnh Bến Tre với địa chỉ truy cập: </w:t>
      </w:r>
      <w:r>
        <w:fldChar w:fldCharType="begin"/>
      </w:r>
      <w:r>
        <w:instrText xml:space="preserve"> HYPERLINK "https://sotaycanbodoanbentre.coquan.vn/?fbclid=IwAR2Y9YJPNRaSbDKN_SjMvBGCEAhhBC296XfwWRWxfCRe0CZ9Dx1Ahoi4Fiw" \t "_blank" </w:instrText>
      </w:r>
      <w:r>
        <w:fldChar w:fldCharType="separate"/>
      </w:r>
      <w:r>
        <w:rPr>
          <w:color w:val="0000FF"/>
          <w:sz w:val="28"/>
          <w:szCs w:val="28"/>
        </w:rPr>
        <w:t>https://sotaycanbodoanbentre.coquan.vn/</w:t>
      </w:r>
      <w:r>
        <w:rPr>
          <w:color w:val="0000FF"/>
          <w:sz w:val="28"/>
          <w:szCs w:val="28"/>
        </w:rPr>
        <w:fldChar w:fldCharType="end"/>
      </w:r>
      <w:r>
        <w:rPr>
          <w:color w:val="050505"/>
          <w:sz w:val="28"/>
          <w:szCs w:val="28"/>
        </w:rPr>
        <w:t xml:space="preserve"> và app </w:t>
      </w:r>
      <w:r>
        <w:rPr>
          <w:i/>
          <w:color w:val="050505"/>
          <w:sz w:val="28"/>
          <w:szCs w:val="28"/>
        </w:rPr>
        <w:t>“Cán bộ đoàn Bến Tre”</w:t>
      </w:r>
      <w:r>
        <w:rPr>
          <w:color w:val="050505"/>
          <w:sz w:val="28"/>
          <w:szCs w:val="28"/>
        </w:rPr>
        <w:t xml:space="preserve"> </w:t>
      </w:r>
      <w:r>
        <w:rPr>
          <w:i/>
          <w:color w:val="050505"/>
          <w:sz w:val="28"/>
          <w:szCs w:val="28"/>
        </w:rPr>
        <w:t xml:space="preserve">(có đầy đủ trên các nền tảng IOS và Android) </w:t>
      </w:r>
      <w:r>
        <w:rPr>
          <w:color w:val="050505"/>
          <w:sz w:val="28"/>
          <w:szCs w:val="28"/>
        </w:rPr>
        <w:t>với nhiều tính năng cần thiết, là địa chỉ đáng tin cậy để các bạn Cán bộ Đoàn, đoàn viên, thanh niên và người dân tìm kiếm và kết nối các thông tin liên quan đến công tác Đoàn Hội Đội tỉnh nhà như: Cơ cấu tổ chức Đoàn; các hình ảnh, video clip, hoạt động nổi bật về công tác Đoàn, Hội, Đội; các gương thanh niên tiêu biểu, thanh niên khởi nghiệp và các mô hình hay tại tỉnh.</w:t>
      </w:r>
    </w:p>
    <w:p>
      <w:pPr>
        <w:shd w:val="clear" w:color="auto" w:fill="FFFFFF"/>
        <w:jc w:val="both"/>
        <w:rPr>
          <w:color w:val="050505"/>
          <w:sz w:val="28"/>
          <w:szCs w:val="28"/>
        </w:rPr>
      </w:pPr>
    </w:p>
    <w:p>
      <w:pPr>
        <w:shd w:val="clear" w:color="auto" w:fill="FFFFFF"/>
        <w:jc w:val="both"/>
        <w:rPr>
          <w:color w:val="050505"/>
          <w:sz w:val="28"/>
          <w:szCs w:val="28"/>
        </w:rPr>
      </w:pPr>
      <w:r>
        <w:rPr>
          <w:color w:val="050505"/>
          <w:sz w:val="28"/>
          <w:szCs w:val="28"/>
        </w:rPr>
        <w:t xml:space="preserve">Ngoài ra, “Sổ tay điện tử cán bộ Đoàn” và App “Cán bộ đoàn Bến Tre” còn trang bị các tính năng để cán bộ Đoàn, đoàn viên, thanh niên học tập Nghị quyết Đại hội Đoàn các cấp, khảo sát lấy ý kiến, lưu trữ các Văn kiện, hồ sơ, tài liệu của Đoàn, tài liệu Sinh hoạt Chi đoàn, tạo lập thời khóa biểu, các thông tin cần thiết để tối ưu việc xử lý công việc. </w:t>
      </w:r>
    </w:p>
    <w:p>
      <w:pPr>
        <w:shd w:val="clear" w:color="auto" w:fill="FFFFFF"/>
        <w:jc w:val="both"/>
        <w:rPr>
          <w:color w:val="050505"/>
          <w:sz w:val="28"/>
          <w:szCs w:val="28"/>
        </w:rPr>
      </w:pPr>
    </w:p>
    <w:p>
      <w:pPr>
        <w:shd w:val="clear" w:color="auto" w:fill="FFFFFF"/>
        <w:jc w:val="both"/>
        <w:rPr>
          <w:color w:val="050505"/>
          <w:sz w:val="28"/>
          <w:szCs w:val="28"/>
        </w:rPr>
      </w:pPr>
      <w:r>
        <w:rPr>
          <w:color w:val="050505"/>
          <w:sz w:val="28"/>
          <w:szCs w:val="28"/>
        </w:rPr>
        <w:t>Đặc biệt, “Sổ tay điện tử cán bộ Đoàn” và App “Cán bộ đoàn Bến Tre” còn có chức năng tương tác với Trợ lý ảo mà không cần đăng nhập bằng tài khoản, đây là công cụ hỗ trợ cập nhật kiến thức, nghiệp vụ cho cán bộ Đoàn, đoàn viên, thanh niên, góp phần tạo cầu nối giữa các cấp bộ đoàn trong tỉnh trong trang bị chuyên môn nghiệp vụ, hỗ trợ trong công tác thông tin thi đua khen thưởng, thông tin kết nối các hoạt động tình nguyện được nhanh chóng, đầy đủ, chính xác, kịp thời.</w:t>
      </w:r>
    </w:p>
    <w:p>
      <w:pPr>
        <w:shd w:val="clear" w:color="auto" w:fill="FFFFFF"/>
        <w:jc w:val="center"/>
        <w:rPr>
          <w:color w:val="050505"/>
          <w:sz w:val="28"/>
          <w:szCs w:val="28"/>
        </w:rPr>
      </w:pPr>
      <w:r>
        <w:rPr>
          <w:color w:val="050505"/>
          <w:sz w:val="28"/>
          <w:szCs w:val="28"/>
        </w:rPr>
        <w:drawing>
          <wp:inline distT="0" distB="0" distL="0" distR="0">
            <wp:extent cx="4048125" cy="42386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048690" cy="4239217"/>
                    </a:xfrm>
                    <a:prstGeom prst="rect">
                      <a:avLst/>
                    </a:prstGeom>
                  </pic:spPr>
                </pic:pic>
              </a:graphicData>
            </a:graphic>
          </wp:inline>
        </w:drawing>
      </w:r>
    </w:p>
    <w:p>
      <w:pPr>
        <w:shd w:val="clear" w:color="auto" w:fill="FFFFFF"/>
        <w:jc w:val="both"/>
        <w:rPr>
          <w:b/>
          <w:i/>
          <w:color w:val="050505"/>
          <w:sz w:val="28"/>
          <w:szCs w:val="28"/>
        </w:rPr>
      </w:pPr>
    </w:p>
    <w:p>
      <w:pPr>
        <w:shd w:val="clear" w:color="auto" w:fill="FFFFFF"/>
        <w:jc w:val="both"/>
        <w:rPr>
          <w:b/>
          <w:i/>
          <w:color w:val="050505"/>
          <w:sz w:val="28"/>
          <w:szCs w:val="28"/>
        </w:rPr>
      </w:pPr>
    </w:p>
    <w:p>
      <w:pPr>
        <w:shd w:val="clear" w:color="auto" w:fill="FFFFFF"/>
        <w:jc w:val="both"/>
        <w:rPr>
          <w:b/>
          <w:i/>
          <w:color w:val="050505"/>
          <w:sz w:val="28"/>
          <w:szCs w:val="28"/>
        </w:rPr>
      </w:pPr>
    </w:p>
    <w:p>
      <w:pPr>
        <w:shd w:val="clear" w:color="auto" w:fill="FFFFFF"/>
        <w:jc w:val="both"/>
        <w:rPr>
          <w:b/>
          <w:i/>
          <w:color w:val="050505"/>
          <w:sz w:val="28"/>
          <w:szCs w:val="28"/>
        </w:rPr>
      </w:pPr>
      <w:r>
        <w:rPr>
          <w:b/>
          <w:i/>
          <w:color w:val="050505"/>
          <w:sz w:val="28"/>
          <w:szCs w:val="28"/>
        </w:rPr>
        <w:t>2. “Cổng thông tin kết nối tình nguyện” Tỉnh đoàn Bến Tre</w:t>
      </w:r>
    </w:p>
    <w:p>
      <w:pPr>
        <w:shd w:val="clear" w:color="auto" w:fill="FFFFFF"/>
        <w:jc w:val="both"/>
        <w:rPr>
          <w:color w:val="050505"/>
          <w:sz w:val="28"/>
          <w:szCs w:val="28"/>
        </w:rPr>
      </w:pPr>
      <w:r>
        <w:rPr>
          <w:i/>
          <w:color w:val="050505"/>
          <w:sz w:val="28"/>
          <w:szCs w:val="28"/>
        </w:rPr>
        <w:t xml:space="preserve">“Cổng thông tin kết nối tình nguyện” </w:t>
      </w:r>
      <w:r>
        <w:rPr>
          <w:color w:val="050505"/>
          <w:sz w:val="28"/>
          <w:szCs w:val="28"/>
        </w:rPr>
        <w:t xml:space="preserve">Tỉnh đoàn Bến Tre được tích hợp trên “Sổ tay điện tử cán bộ Đoàn” tỉnh Bến Tre với địa chỉ truy cập: </w:t>
      </w:r>
      <w:r>
        <w:fldChar w:fldCharType="begin"/>
      </w:r>
      <w:r>
        <w:instrText xml:space="preserve"> HYPERLINK "https://l.facebook.com/l.php?u=https%3A%2F%2Fsotaycanbodoanbentre.coquan.vn%2F%3Ffbclid%3DIwAR2Y9YJPNRaSbDKN_SjMvBGCEAhhBC296XfwWRWxfCRe0CZ9Dx1Ahoi4Fiw&amp;h=AT1jMcdPlghAHU6voXE7LY7_IxXahh8Xpiho7fe_dBN7aGgDeSaNq7Z4r3ycB7wgVHq-Mgv2btlhZfIjbRY6d4CHOFeb_72qFK99RpX_gug5LoEveXPDL5qtFfJW84Td2L3g&amp;__tn__=-UK-R&amp;c%5b0%5d=AT3W5B08vT27aj-kS5kpJ5UkpG3lphWqzj7ZbB83gULe1mY6ZRTnozQIrMFFdJh0ufbLHO0FpHypmLAtsHRucogJDg5gwLLU99ms6agn-cmyjgtG-NMAlhuUo7GSr4TwW2QC_BfnbUkhnC26s77I2hiHYeQm45sepOAQryQh6AdUWlucowoogbJ1aEbOIVhy_J8k1VuKGzqQPqPptLmHXsaqX_3_1UGgO263EQ" \t "_blank" </w:instrText>
      </w:r>
      <w:r>
        <w:fldChar w:fldCharType="separate"/>
      </w:r>
      <w:r>
        <w:rPr>
          <w:color w:val="0000FF"/>
          <w:sz w:val="28"/>
          <w:szCs w:val="28"/>
        </w:rPr>
        <w:t>https://sotaycanbodoanbentre.coquan.vn/</w:t>
      </w:r>
      <w:r>
        <w:rPr>
          <w:color w:val="0000FF"/>
          <w:sz w:val="28"/>
          <w:szCs w:val="28"/>
        </w:rPr>
        <w:fldChar w:fldCharType="end"/>
      </w:r>
      <w:r>
        <w:rPr>
          <w:color w:val="050505"/>
          <w:sz w:val="28"/>
          <w:szCs w:val="28"/>
        </w:rPr>
        <w:t xml:space="preserve"> là địa chỉ đáng tin cậy để các bạn đoàn viên, thanh niên, tình nguyện viên và người dân tìm kiếm, kết nối các thông tin về hoạt động tình nguyện trên địa bàn tỉnh Bến Tre, đặc biệt là các chương trình, chiến dịch, dự án tình nguyện; là nơi kết nối các tổ chức, cá nhân quan tâm, yêu thích với các hoạt động tình nguyện, hoạt động xã hội trên địa bàn tỉnh, bao gồm các chuyên mục: Chiến dịch Thanh niên tình nguyện hè; chương trình, dự án tình nguyện; nhật ký tình nguyện; gương sáng tình nguyện; Câu lạc bộ, đội, nhóm tình nguyện; địa điểm tình nguyện; kỹ năng tình nguyện; quyên góp thực hiện hoạt động tình nguyện với nhiều hình ảnh trực quan, thông tin bổ ích giúp các bạn đoàn viên, thanh niên và người dân dễ dàng tiếp cận, trao đổi, kết nối thông tin về các hoạt động tình nguyện. </w:t>
      </w:r>
    </w:p>
    <w:p>
      <w:pPr>
        <w:shd w:val="clear" w:color="auto" w:fill="FFFFFF"/>
        <w:jc w:val="center"/>
        <w:rPr>
          <w:color w:val="050505"/>
          <w:sz w:val="28"/>
          <w:szCs w:val="28"/>
        </w:rPr>
      </w:pPr>
      <w:r>
        <w:rPr>
          <w:color w:val="050505"/>
          <w:sz w:val="28"/>
          <w:szCs w:val="28"/>
        </w:rPr>
        <w:drawing>
          <wp:inline distT="0" distB="0" distL="0" distR="0">
            <wp:extent cx="5010150" cy="27127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009598" cy="2712934"/>
                    </a:xfrm>
                    <a:prstGeom prst="rect">
                      <a:avLst/>
                    </a:prstGeom>
                  </pic:spPr>
                </pic:pic>
              </a:graphicData>
            </a:graphic>
          </wp:inline>
        </w:drawing>
      </w:r>
    </w:p>
    <w:p>
      <w:pPr>
        <w:shd w:val="clear" w:color="auto" w:fill="FFFFFF"/>
        <w:jc w:val="center"/>
        <w:rPr>
          <w:color w:val="050505"/>
          <w:sz w:val="28"/>
          <w:szCs w:val="28"/>
        </w:rPr>
      </w:pPr>
    </w:p>
    <w:p>
      <w:pPr>
        <w:shd w:val="clear" w:color="auto" w:fill="FFFFFF"/>
        <w:jc w:val="both"/>
        <w:rPr>
          <w:color w:val="050505"/>
          <w:sz w:val="28"/>
          <w:szCs w:val="28"/>
        </w:rPr>
      </w:pPr>
      <w:r>
        <w:rPr>
          <w:i/>
          <w:color w:val="050505"/>
          <w:sz w:val="28"/>
          <w:szCs w:val="28"/>
        </w:rPr>
        <w:t>“Cổng thông tin kết nối tình nguyện”</w:t>
      </w:r>
      <w:r>
        <w:rPr>
          <w:color w:val="050505"/>
          <w:sz w:val="28"/>
          <w:szCs w:val="28"/>
        </w:rPr>
        <w:t xml:space="preserve"> Tỉnh đoàn Bến Tre sẽ là giải pháp hữu hiệu ứng dụng công nghệ số để kết nối các nguồn lực, lực lượng và thông tin chương trình, hoạt động tình nguyện của tỉnh, từ đó đáp ứng nhu cầu tham gia của các bạn đoàn viên, thanh niên và người dân trong và ngoài tỉnh đối với các hoạt động tình nguyện, góp phần tích cực vào sự phát triển của phong trào thanh niên tình nguyện tỉnh Bến Tre nói riêng và cả nước nói chung.</w:t>
      </w:r>
    </w:p>
    <w:p>
      <w:pPr>
        <w:shd w:val="clear" w:color="auto" w:fill="FFFFFF"/>
        <w:jc w:val="both"/>
        <w:rPr>
          <w:color w:val="050505"/>
          <w:sz w:val="28"/>
          <w:szCs w:val="28"/>
        </w:rPr>
      </w:pPr>
    </w:p>
    <w:p>
      <w:pPr>
        <w:shd w:val="clear" w:color="auto" w:fill="FFFFFF"/>
        <w:jc w:val="both"/>
        <w:rPr>
          <w:b/>
          <w:i/>
          <w:color w:val="050505"/>
          <w:sz w:val="28"/>
          <w:szCs w:val="28"/>
        </w:rPr>
      </w:pPr>
      <w:r>
        <w:rPr>
          <w:b/>
          <w:i/>
          <w:color w:val="050505"/>
          <w:sz w:val="28"/>
          <w:szCs w:val="28"/>
        </w:rPr>
        <w:t>3. “Cổng thi đua khen thưởng” trực tuyến Tỉnh Đoàn Bến Tre</w:t>
      </w:r>
    </w:p>
    <w:p>
      <w:pPr>
        <w:shd w:val="clear" w:color="auto" w:fill="FFFFFF"/>
        <w:jc w:val="both"/>
        <w:rPr>
          <w:b/>
          <w:i/>
          <w:color w:val="050505"/>
          <w:sz w:val="28"/>
          <w:szCs w:val="28"/>
        </w:rPr>
      </w:pPr>
    </w:p>
    <w:p>
      <w:pPr>
        <w:shd w:val="clear" w:color="auto" w:fill="FFFFFF"/>
        <w:jc w:val="both"/>
        <w:rPr>
          <w:color w:val="050505"/>
          <w:sz w:val="28"/>
          <w:szCs w:val="28"/>
        </w:rPr>
      </w:pPr>
      <w:r>
        <w:rPr>
          <w:i/>
          <w:color w:val="050505"/>
          <w:sz w:val="28"/>
          <w:szCs w:val="28"/>
        </w:rPr>
        <w:t>“Cổng thi đua khen thưởng”</w:t>
      </w:r>
      <w:r>
        <w:rPr>
          <w:color w:val="050505"/>
          <w:sz w:val="28"/>
          <w:szCs w:val="28"/>
        </w:rPr>
        <w:t xml:space="preserve"> trực tuyến Tỉnh đoàn Bến Tre được tích hợp trên </w:t>
      </w:r>
      <w:r>
        <w:rPr>
          <w:i/>
          <w:color w:val="050505"/>
          <w:sz w:val="28"/>
          <w:szCs w:val="28"/>
        </w:rPr>
        <w:t>“Sổ tay điện tử cán bộ Đoàn”</w:t>
      </w:r>
      <w:r>
        <w:rPr>
          <w:color w:val="050505"/>
          <w:sz w:val="28"/>
          <w:szCs w:val="28"/>
        </w:rPr>
        <w:t xml:space="preserve"> tỉnh Bến Tre với địa chỉ truy cập: </w:t>
      </w:r>
      <w:r>
        <w:fldChar w:fldCharType="begin"/>
      </w:r>
      <w:r>
        <w:instrText xml:space="preserve"> HYPERLINK "https://l.facebook.com/l.php?u=https%3A%2F%2Fsotaycanbodoanbentre.coquan.vn%2F%3Ffbclid%3DIwAR1OfwfeeC-C5Jkqryv8A97bfCK0EUxpYvVn8vK_Oa59u9QMbRhoX1KHeNw&amp;h=AT1jMcdPlghAHU6voXE7LY7_IxXahh8Xpiho7fe_dBN7aGgDeSaNq7Z4r3ycB7wgVHq-Mgv2btlhZfIjbRY6d4CHOFeb_72qFK99RpX_gug5LoEveXPDL5qtFfJW84Td2L3g&amp;__tn__=-UK-R&amp;c%5b0%5d=AT3W5B08vT27aj-kS5kpJ5UkpG3lphWqzj7ZbB83gULe1mY6ZRTnozQIrMFFdJh0ufbLHO0FpHypmLAtsHRucogJDg5gwLLU99ms6agn-cmyjgtG-NMAlhuUo7GSr4TwW2QC_BfnbUkhnC26s77I2hiHYeQm45sepOAQryQh6AdUWlucowoogbJ1aEbOIVhy_J8k1VuKGzqQPqPptLmHXsaqX_3_1UGgO263EQ" \t "_blank" </w:instrText>
      </w:r>
      <w:r>
        <w:fldChar w:fldCharType="separate"/>
      </w:r>
      <w:r>
        <w:rPr>
          <w:color w:val="0000FF"/>
          <w:sz w:val="28"/>
          <w:szCs w:val="28"/>
        </w:rPr>
        <w:t>https://sotaycanbodoanbentre.coquan.vn/</w:t>
      </w:r>
      <w:r>
        <w:rPr>
          <w:color w:val="0000FF"/>
          <w:sz w:val="28"/>
          <w:szCs w:val="28"/>
        </w:rPr>
        <w:fldChar w:fldCharType="end"/>
      </w:r>
      <w:r>
        <w:rPr>
          <w:color w:val="050505"/>
          <w:sz w:val="28"/>
          <w:szCs w:val="28"/>
        </w:rPr>
        <w:t xml:space="preserve"> là địa chỉ đáng tin cậy để các bạn cán bộ Đoàn, đoàn viên, thanh niên nộp hồ sơ khen thưởng về Tỉnh đoàn được thuận lợi, tiết kiệm được thời gian, thủ tục rõ ràng, chính xác, kịp thời. </w:t>
      </w:r>
    </w:p>
    <w:p>
      <w:pPr>
        <w:shd w:val="clear" w:color="auto" w:fill="FFFFFF"/>
        <w:jc w:val="center"/>
        <w:rPr>
          <w:color w:val="050505"/>
          <w:sz w:val="28"/>
          <w:szCs w:val="28"/>
        </w:rPr>
      </w:pPr>
      <w:r>
        <w:rPr>
          <w:color w:val="050505"/>
          <w:sz w:val="28"/>
          <w:szCs w:val="28"/>
        </w:rPr>
        <w:drawing>
          <wp:inline distT="0" distB="0" distL="0" distR="0">
            <wp:extent cx="5067300" cy="248666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66742" cy="2486467"/>
                    </a:xfrm>
                    <a:prstGeom prst="rect">
                      <a:avLst/>
                    </a:prstGeom>
                  </pic:spPr>
                </pic:pic>
              </a:graphicData>
            </a:graphic>
          </wp:inline>
        </w:drawing>
      </w:r>
    </w:p>
    <w:p>
      <w:pPr>
        <w:shd w:val="clear" w:color="auto" w:fill="FFFFFF"/>
        <w:jc w:val="both"/>
        <w:rPr>
          <w:color w:val="050505"/>
          <w:sz w:val="28"/>
          <w:szCs w:val="28"/>
        </w:rPr>
      </w:pPr>
    </w:p>
    <w:p>
      <w:pPr>
        <w:shd w:val="clear" w:color="auto" w:fill="FFFFFF"/>
        <w:spacing w:before="120" w:after="120"/>
        <w:ind w:firstLine="720"/>
        <w:jc w:val="both"/>
        <w:rPr>
          <w:color w:val="050505"/>
          <w:sz w:val="28"/>
          <w:szCs w:val="28"/>
        </w:rPr>
      </w:pPr>
      <w:r>
        <w:rPr>
          <w:color w:val="050505"/>
          <w:sz w:val="28"/>
          <w:szCs w:val="28"/>
        </w:rPr>
        <w:t xml:space="preserve">Trên </w:t>
      </w:r>
      <w:r>
        <w:rPr>
          <w:i/>
          <w:color w:val="050505"/>
          <w:sz w:val="28"/>
          <w:szCs w:val="28"/>
        </w:rPr>
        <w:t>“Cổng thi đua khen thưởng”</w:t>
      </w:r>
      <w:r>
        <w:rPr>
          <w:color w:val="050505"/>
          <w:sz w:val="28"/>
          <w:szCs w:val="28"/>
        </w:rPr>
        <w:t xml:space="preserve"> trực tuyến Tỉnh đoàn Bến Tre, tài khoản quản lý sẽ đăng tải các Kế hoạch cũng như các nội dung liên quan công tác Thi đua khen thưởng và thông báo cho các đơn vị, trong đó sẽ có nội dung Khen thưởng, tiêu chuẩn, danh mục hồ sơ, thời gian nộp....từ đó các đơn vị sẽ truy cập vào để xem các yêu cầu và tiến hành xét chọn cũng như nộp hồ sơ theo yêu cầu trên hệ thống, có thể đính kèm các file word, pdf, file ảnh…</w:t>
      </w:r>
    </w:p>
    <w:p>
      <w:pPr>
        <w:shd w:val="clear" w:color="auto" w:fill="FFFFFF"/>
        <w:spacing w:before="120" w:after="120"/>
        <w:jc w:val="both"/>
        <w:rPr>
          <w:color w:val="050505"/>
          <w:sz w:val="28"/>
          <w:szCs w:val="28"/>
        </w:rPr>
      </w:pPr>
      <w:r>
        <w:rPr>
          <w:color w:val="050505"/>
          <w:sz w:val="28"/>
          <w:szCs w:val="28"/>
        </w:rPr>
        <w:t>Trên cơ sở đó Tỉnh đoàn Bến Tre sẽ xét và trả kết quả trên hệ thống, hồ sơ nào đạt/ không đạt (lý do ko đạt) hoặc yêu cầu điều chỉnh, bổ sung hồ sơ trực tiếp trên “Cổng thi đua khen thưởng”.</w:t>
      </w:r>
    </w:p>
    <w:p>
      <w:pPr>
        <w:shd w:val="clear" w:color="auto" w:fill="FFFFFF"/>
        <w:spacing w:before="120" w:after="120"/>
        <w:ind w:firstLine="720"/>
        <w:jc w:val="both"/>
        <w:rPr>
          <w:color w:val="050505"/>
          <w:sz w:val="28"/>
          <w:szCs w:val="28"/>
        </w:rPr>
      </w:pPr>
      <w:r>
        <w:rPr>
          <w:i/>
          <w:color w:val="050505"/>
          <w:sz w:val="28"/>
          <w:szCs w:val="28"/>
        </w:rPr>
        <w:t>Cổng thi đua khen thưởng”</w:t>
      </w:r>
      <w:r>
        <w:rPr>
          <w:color w:val="050505"/>
          <w:sz w:val="28"/>
          <w:szCs w:val="28"/>
        </w:rPr>
        <w:t xml:space="preserve"> trực tuyến Tỉnh đoàn Bến Tre giúp cho việc kết nối 2 chiều trong gửi hồ sơ, nhận kết quả, phản hồi kết quả thi đua khen thưởng được thuận lợi, nhanh chóng, rõ ràng, chính xác cho các cấp bộ Đoàn.</w:t>
      </w:r>
    </w:p>
    <w:p>
      <w:pPr>
        <w:shd w:val="clear" w:color="auto" w:fill="FFFFFF"/>
        <w:spacing w:before="120" w:after="120"/>
        <w:jc w:val="both"/>
        <w:rPr>
          <w:color w:val="050505"/>
          <w:sz w:val="28"/>
          <w:szCs w:val="28"/>
        </w:rPr>
      </w:pPr>
      <w:r>
        <w:rPr>
          <w:color w:val="050505"/>
          <w:sz w:val="28"/>
          <w:szCs w:val="28"/>
        </w:rPr>
        <w:t>Trong thời gian tới, Ban Thường vụ Tỉnh đoàn phối hợp Viettel Bến Tre tiếp tục hoàn thiện và nâng cấp các chức năng của “</w:t>
      </w:r>
      <w:r>
        <w:rPr>
          <w:i/>
          <w:color w:val="050505"/>
          <w:sz w:val="28"/>
          <w:szCs w:val="28"/>
        </w:rPr>
        <w:t>Sổ tay điện tử cán bộ Đoàn”,</w:t>
      </w:r>
      <w:r>
        <w:rPr>
          <w:color w:val="050505"/>
          <w:sz w:val="28"/>
          <w:szCs w:val="28"/>
        </w:rPr>
        <w:t xml:space="preserve"> App </w:t>
      </w:r>
      <w:r>
        <w:rPr>
          <w:i/>
          <w:color w:val="050505"/>
          <w:sz w:val="28"/>
          <w:szCs w:val="28"/>
        </w:rPr>
        <w:t>“Cán bộ đoàn Bến Tre”,</w:t>
      </w:r>
      <w:r>
        <w:rPr>
          <w:color w:val="050505"/>
          <w:sz w:val="28"/>
          <w:szCs w:val="28"/>
        </w:rPr>
        <w:t xml:space="preserve"> </w:t>
      </w:r>
      <w:r>
        <w:rPr>
          <w:i/>
          <w:color w:val="050505"/>
          <w:sz w:val="28"/>
          <w:szCs w:val="28"/>
        </w:rPr>
        <w:t xml:space="preserve">“Cổng thông tin kết nối tình nguyện”, “Cổng thi đua khen thưởng” </w:t>
      </w:r>
      <w:r>
        <w:rPr>
          <w:color w:val="050505"/>
          <w:sz w:val="28"/>
          <w:szCs w:val="28"/>
        </w:rPr>
        <w:t>trực tuyến Tỉnh đoàn Bến Tre để đáp ứng kịp thời nhu cầu của cán bộ Đoàn, đoàn viên, thanh niên và phù hợp với công cuộc chuyển đổi số, đặc biệt chuyển đổi số các hoạt động của Đoàn trong giai đoạn hiện nay.</w:t>
      </w:r>
    </w:p>
    <w:p>
      <w:pPr>
        <w:shd w:val="clear" w:color="auto" w:fill="FFFFFF"/>
        <w:spacing w:before="120" w:after="120"/>
        <w:ind w:firstLine="720"/>
        <w:jc w:val="both"/>
        <w:rPr>
          <w:b/>
          <w:i/>
          <w:sz w:val="28"/>
          <w:szCs w:val="28"/>
        </w:rPr>
      </w:pPr>
      <w:r>
        <w:rPr>
          <w:b/>
          <w:i/>
          <w:sz w:val="28"/>
          <w:szCs w:val="28"/>
        </w:rPr>
        <w:t>4. Chuyên mục Chuyển đổi số Bến Tre trên Fanpage “Tuổi trẻ Bến Tre” và website “Tuoitrexudua.vn”</w:t>
      </w:r>
    </w:p>
    <w:p>
      <w:pPr>
        <w:pStyle w:val="252"/>
        <w:spacing w:before="80" w:after="80"/>
        <w:ind w:firstLine="720"/>
        <w:jc w:val="both"/>
        <w:rPr>
          <w:sz w:val="28"/>
          <w:szCs w:val="28"/>
        </w:rPr>
      </w:pPr>
      <w:r>
        <w:rPr>
          <w:sz w:val="28"/>
          <w:szCs w:val="28"/>
        </w:rPr>
        <w:t xml:space="preserve">Ban Thường  vụ Tỉnh đoàn tiến hành mở chuyên mục </w:t>
      </w:r>
      <w:r>
        <w:rPr>
          <w:i/>
          <w:sz w:val="28"/>
          <w:szCs w:val="28"/>
        </w:rPr>
        <w:t xml:space="preserve">Chuyển đổi số Bến Tre </w:t>
      </w:r>
      <w:r>
        <w:rPr>
          <w:sz w:val="28"/>
          <w:szCs w:val="28"/>
        </w:rPr>
        <w:t>trên Fanpage</w:t>
      </w:r>
      <w:r>
        <w:rPr>
          <w:i/>
          <w:sz w:val="28"/>
          <w:szCs w:val="28"/>
        </w:rPr>
        <w:t xml:space="preserve"> “Tuổi trẻ Bến Tre” </w:t>
      </w:r>
      <w:r>
        <w:rPr>
          <w:sz w:val="28"/>
          <w:szCs w:val="28"/>
        </w:rPr>
        <w:t>và website</w:t>
      </w:r>
      <w:r>
        <w:rPr>
          <w:i/>
          <w:sz w:val="28"/>
          <w:szCs w:val="28"/>
        </w:rPr>
        <w:t xml:space="preserve"> “Tuoitrexudua.vn” </w:t>
      </w:r>
      <w:r>
        <w:rPr>
          <w:sz w:val="28"/>
          <w:szCs w:val="28"/>
        </w:rPr>
        <w:t>nhằm</w:t>
      </w:r>
      <w:r>
        <w:rPr>
          <w:i/>
          <w:sz w:val="28"/>
          <w:szCs w:val="28"/>
        </w:rPr>
        <w:t xml:space="preserve"> </w:t>
      </w:r>
      <w:r>
        <w:rPr>
          <w:sz w:val="28"/>
          <w:szCs w:val="28"/>
        </w:rPr>
        <w:t>cập nhật kiến thức về chuyển đổi số, tăng cường tuyên truyền phổ biến về các chủ trương, chính sách, pháp luật, chiến lược về ứng dụng công nghệ thông tin, thực hiện chuyển đổi số của Đảng và Nhà nước, góp phần nâng cao nhận thức cho đoàn viên, thanh niên và người dân thấy được lợi ích của việc chuyển đổi số.</w:t>
      </w:r>
    </w:p>
    <w:p>
      <w:pPr>
        <w:shd w:val="clear" w:color="auto" w:fill="FFFFFF"/>
        <w:spacing w:before="120" w:after="120"/>
        <w:jc w:val="center"/>
        <w:rPr>
          <w:color w:val="050505"/>
          <w:sz w:val="28"/>
          <w:szCs w:val="28"/>
        </w:rPr>
      </w:pPr>
      <w:r>
        <w:drawing>
          <wp:inline distT="0" distB="0" distL="0" distR="0">
            <wp:extent cx="4962525" cy="2581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61978" cy="2581606"/>
                    </a:xfrm>
                    <a:prstGeom prst="rect">
                      <a:avLst/>
                    </a:prstGeom>
                  </pic:spPr>
                </pic:pic>
              </a:graphicData>
            </a:graphic>
          </wp:inline>
        </w:drawing>
      </w:r>
      <w:r>
        <w:fldChar w:fldCharType="begin"/>
      </w:r>
      <w:r>
        <w:instrText xml:space="preserve"> HYPERLINK "https://www.facebook.com/hashtag/tuoitrebentre?__eep__=6&amp;__cft__%5b0%5d=AZWjiqJy42UUucRCu_fiXI4-wTEa62hYC77cOhz-czL6TO3IPDyvjLAoJ5PvJpZBV4Eu7J84A4cEB5cttkkr3vK756IQbqrE-JXyPUDEGjNy0OmwVgsbTLWElUZZRATAwSuGS2GeP9ldx8Rho8_7559D6RHKf0lb5VsM7JY-uz-ivAcylTBAQK_A8CwJYFMIPmbIx8-QUB7DmR0MYWcoeLrx&amp;__tn__=*NK-R" </w:instrText>
      </w:r>
      <w:r>
        <w:fldChar w:fldCharType="separate"/>
      </w:r>
      <w:r>
        <w:fldChar w:fldCharType="end"/>
      </w:r>
    </w:p>
    <w:p>
      <w:pPr>
        <w:spacing w:before="120" w:after="120"/>
        <w:jc w:val="both"/>
        <w:rPr>
          <w:b/>
          <w:color w:val="000000" w:themeColor="text1"/>
          <w:sz w:val="28"/>
          <w:szCs w:val="28"/>
          <w:highlight w:val="cyan"/>
          <w14:textFill>
            <w14:solidFill>
              <w14:schemeClr w14:val="tx1"/>
            </w14:solidFill>
          </w14:textFill>
        </w:rPr>
      </w:pPr>
    </w:p>
    <w:p>
      <w:pPr>
        <w:spacing w:before="120" w:after="120"/>
        <w:jc w:val="both"/>
        <w:rPr>
          <w:b/>
          <w:color w:val="000000" w:themeColor="text1"/>
          <w:sz w:val="28"/>
          <w:szCs w:val="28"/>
          <w:highlight w:val="cyan"/>
          <w14:textFill>
            <w14:solidFill>
              <w14:schemeClr w14:val="tx1"/>
            </w14:solidFill>
          </w14:textFill>
        </w:rPr>
      </w:pPr>
    </w:p>
    <w:p>
      <w:pPr>
        <w:spacing w:before="120" w:after="120"/>
        <w:jc w:val="both"/>
        <w:rPr>
          <w:b/>
          <w:color w:val="000000" w:themeColor="text1"/>
          <w:sz w:val="28"/>
          <w:szCs w:val="28"/>
          <w:lang w:val="vi-VN"/>
          <w14:textFill>
            <w14:solidFill>
              <w14:schemeClr w14:val="tx1"/>
            </w14:solidFill>
          </w14:textFill>
        </w:rPr>
      </w:pPr>
      <w:r>
        <w:rPr>
          <w:b/>
          <w:color w:val="000000" w:themeColor="text1"/>
          <w:sz w:val="28"/>
          <w:szCs w:val="28"/>
          <w:highlight w:val="cyan"/>
          <w:lang w:val="vi-VN"/>
          <w14:textFill>
            <w14:solidFill>
              <w14:schemeClr w14:val="tx1"/>
            </w14:solidFill>
          </w14:textFill>
        </w:rPr>
        <w:t>I</w:t>
      </w:r>
      <w:r>
        <w:rPr>
          <w:b/>
          <w:color w:val="000000" w:themeColor="text1"/>
          <w:sz w:val="28"/>
          <w:szCs w:val="28"/>
          <w:highlight w:val="cyan"/>
          <w14:textFill>
            <w14:solidFill>
              <w14:schemeClr w14:val="tx1"/>
            </w14:solidFill>
          </w14:textFill>
        </w:rPr>
        <w:t>V</w:t>
      </w:r>
      <w:r>
        <w:rPr>
          <w:b/>
          <w:color w:val="000000" w:themeColor="text1"/>
          <w:sz w:val="28"/>
          <w:szCs w:val="28"/>
          <w:highlight w:val="cyan"/>
          <w:lang w:val="vi-VN"/>
          <w14:textFill>
            <w14:solidFill>
              <w14:schemeClr w14:val="tx1"/>
            </w14:solidFill>
          </w14:textFill>
        </w:rPr>
        <w:t>. BẢO VỆ NỀN TẢNG TƯ TƯỞNG CỦA ĐẢNG</w:t>
      </w:r>
      <w:r>
        <w:rPr>
          <w:b/>
          <w:sz w:val="28"/>
          <w:szCs w:val="28"/>
          <w:highlight w:val="cyan"/>
        </w:rPr>
        <w:t xml:space="preserve"> </w:t>
      </w:r>
    </w:p>
    <w:p>
      <w:pPr>
        <w:rPr>
          <w:b/>
          <w:bCs/>
          <w:i/>
          <w:sz w:val="28"/>
          <w:szCs w:val="28"/>
          <w:lang w:val="vi-VN"/>
        </w:rPr>
      </w:pPr>
      <w:r>
        <w:rPr>
          <w:b/>
          <w:bCs/>
          <w:i/>
          <w:sz w:val="28"/>
          <w:szCs w:val="28"/>
          <w:lang w:val="vi-VN"/>
        </w:rPr>
        <w:t>Vai trò, trách nhiệm của thanh niên trong bảo vệ nền tảng tư tưởng của Đảng</w:t>
      </w:r>
    </w:p>
    <w:p>
      <w:pPr>
        <w:ind w:firstLine="567"/>
        <w:jc w:val="center"/>
        <w:rPr>
          <w:i/>
          <w:iCs/>
          <w:lang w:val="vi-VN"/>
        </w:rPr>
      </w:pPr>
      <w:r>
        <w:rPr>
          <w:i/>
          <w:iCs/>
        </w:rPr>
        <w:drawing>
          <wp:inline distT="0" distB="0" distL="0" distR="0">
            <wp:extent cx="4495800" cy="30003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495305" cy="3000173"/>
                    </a:xfrm>
                    <a:prstGeom prst="rect">
                      <a:avLst/>
                    </a:prstGeom>
                  </pic:spPr>
                </pic:pic>
              </a:graphicData>
            </a:graphic>
          </wp:inline>
        </w:drawing>
      </w:r>
    </w:p>
    <w:p>
      <w:pPr>
        <w:ind w:firstLine="567"/>
        <w:jc w:val="center"/>
        <w:rPr>
          <w:i/>
          <w:iCs/>
        </w:rPr>
      </w:pPr>
      <w:r>
        <w:rPr>
          <w:i/>
          <w:iCs/>
          <w:lang w:val="vi-VN"/>
        </w:rPr>
        <w:t xml:space="preserve">Hình ảnh Đại hội Đại biểu Đoàn TNCS Hồ Chí Minh tỉnh  </w:t>
      </w:r>
      <w:r>
        <w:rPr>
          <w:i/>
          <w:iCs/>
        </w:rPr>
        <w:t xml:space="preserve">Bến Tre </w:t>
      </w:r>
      <w:r>
        <w:rPr>
          <w:i/>
          <w:iCs/>
          <w:lang w:val="vi-VN"/>
        </w:rPr>
        <w:t xml:space="preserve"> lần thứ XI, </w:t>
      </w:r>
      <w:r>
        <w:rPr>
          <w:i/>
          <w:iCs/>
        </w:rPr>
        <w:br w:type="textWrapping"/>
      </w:r>
      <w:r>
        <w:rPr>
          <w:i/>
          <w:iCs/>
          <w:lang w:val="vi-VN"/>
        </w:rPr>
        <w:t>nhiệm kỳ 2022 - 2027</w:t>
      </w:r>
    </w:p>
    <w:p>
      <w:pPr>
        <w:ind w:firstLine="567"/>
        <w:jc w:val="both"/>
        <w:rPr>
          <w:sz w:val="28"/>
          <w:szCs w:val="28"/>
          <w:lang w:val="vi-VN"/>
        </w:rPr>
      </w:pPr>
      <w:r>
        <w:rPr>
          <w:sz w:val="28"/>
          <w:szCs w:val="28"/>
          <w:lang w:val="vi-VN"/>
        </w:rPr>
        <w:t>Thanh niên cần là lực lượng xung kích, kịp thời phát hiện, kiên quyết đấu tranh, ngăn chặn, làm thất bại mọi âm mưu, thủ đoạn của các thế lực thù địch, cực đoan, thiếu thiện chí.</w:t>
      </w:r>
    </w:p>
    <w:p>
      <w:pPr>
        <w:ind w:firstLine="567"/>
        <w:jc w:val="both"/>
        <w:rPr>
          <w:sz w:val="28"/>
          <w:szCs w:val="28"/>
        </w:rPr>
      </w:pPr>
      <w:r>
        <w:rPr>
          <w:sz w:val="28"/>
          <w:szCs w:val="28"/>
          <w:lang w:val="vi-VN"/>
        </w:rPr>
        <w:t>Công tác bảo vệ nền tảng tư tưởng của Đảng là nhiệm vụ vừa mang tính thường xuyên, vừa mang tính cấp bách, cần quyết tâm chính trị cao và sự vào cuộc của toàn Đảng, toàn quân, toàn dân.Trong đó, thanh niên cần là lực lượng xung kích, kịp thời phát hiện, kiên quyết đấu tranh, ngăn chặn, làm thất bại mọi âm mưu, thủ đoạn của các thế lực thù địch, cực đoan, thiếu thiện chí.</w:t>
      </w:r>
    </w:p>
    <w:p>
      <w:pPr>
        <w:ind w:firstLine="567"/>
        <w:jc w:val="center"/>
        <w:rPr>
          <w:sz w:val="28"/>
          <w:szCs w:val="28"/>
        </w:rPr>
      </w:pPr>
      <w:r>
        <w:rPr>
          <w:sz w:val="28"/>
          <w:szCs w:val="28"/>
        </w:rPr>
        <w:drawing>
          <wp:inline distT="0" distB="0" distL="0" distR="0">
            <wp:extent cx="3562350" cy="3562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61958" cy="3561958"/>
                    </a:xfrm>
                    <a:prstGeom prst="rect">
                      <a:avLst/>
                    </a:prstGeom>
                  </pic:spPr>
                </pic:pic>
              </a:graphicData>
            </a:graphic>
          </wp:inline>
        </w:drawing>
      </w:r>
    </w:p>
    <w:p>
      <w:pPr>
        <w:ind w:firstLine="567"/>
        <w:jc w:val="right"/>
        <w:rPr>
          <w:b/>
          <w:bCs/>
          <w:sz w:val="28"/>
          <w:szCs w:val="28"/>
        </w:rPr>
      </w:pPr>
    </w:p>
    <w:p>
      <w:pPr>
        <w:ind w:firstLine="567"/>
        <w:jc w:val="right"/>
        <w:rPr>
          <w:b/>
          <w:bCs/>
          <w:sz w:val="28"/>
          <w:szCs w:val="28"/>
          <w:lang w:val="vi-VN"/>
        </w:rPr>
      </w:pPr>
      <w:r>
        <w:rPr>
          <w:b/>
          <w:bCs/>
          <w:sz w:val="28"/>
          <w:szCs w:val="28"/>
          <w:lang w:val="vi-VN"/>
        </w:rPr>
        <w:t>Nguồn: Tạp chí Tuyên giáo Trung ương</w:t>
      </w:r>
    </w:p>
    <w:p>
      <w:pPr>
        <w:ind w:firstLine="567"/>
        <w:jc w:val="right"/>
        <w:rPr>
          <w:sz w:val="28"/>
          <w:szCs w:val="28"/>
        </w:rPr>
      </w:pPr>
      <w:r>
        <w:rPr>
          <w:sz w:val="28"/>
          <w:szCs w:val="28"/>
          <w:lang w:val="vi-VN"/>
        </w:rPr>
        <w:t xml:space="preserve">Xem thêm tại: </w:t>
      </w:r>
      <w:r>
        <w:fldChar w:fldCharType="begin"/>
      </w:r>
      <w:r>
        <w:instrText xml:space="preserve"> HYPERLINK "https://bom.so/M59iKV" </w:instrText>
      </w:r>
      <w:r>
        <w:fldChar w:fldCharType="separate"/>
      </w:r>
      <w:r>
        <w:rPr>
          <w:rStyle w:val="51"/>
          <w:sz w:val="28"/>
          <w:szCs w:val="28"/>
          <w:lang w:val="vi-VN"/>
        </w:rPr>
        <w:t>https://bom.so/M59iKV</w:t>
      </w:r>
      <w:r>
        <w:rPr>
          <w:rStyle w:val="51"/>
          <w:sz w:val="28"/>
          <w:szCs w:val="28"/>
          <w:lang w:val="vi-VN"/>
        </w:rPr>
        <w:fldChar w:fldCharType="end"/>
      </w:r>
      <w:r>
        <w:rPr>
          <w:sz w:val="28"/>
          <w:szCs w:val="28"/>
          <w:lang w:val="vi-VN"/>
        </w:rPr>
        <w:t xml:space="preserve"> </w:t>
      </w:r>
    </w:p>
    <w:p>
      <w:pPr>
        <w:spacing w:before="120" w:after="120"/>
        <w:ind w:right="2"/>
        <w:jc w:val="both"/>
        <w:rPr>
          <w:color w:val="000000" w:themeColor="text1"/>
          <w:sz w:val="28"/>
          <w:szCs w:val="28"/>
          <w14:textFill>
            <w14:solidFill>
              <w14:schemeClr w14:val="tx1"/>
            </w14:solidFill>
          </w14:textFill>
        </w:rPr>
      </w:pPr>
      <w:r>
        <w:rPr>
          <w:b/>
          <w:color w:val="000000" w:themeColor="text1"/>
          <w:sz w:val="28"/>
          <w:szCs w:val="28"/>
          <w:highlight w:val="cyan"/>
          <w:lang w:val="vi-VN"/>
          <w14:textFill>
            <w14:solidFill>
              <w14:schemeClr w14:val="tx1"/>
            </w14:solidFill>
          </w14:textFill>
        </w:rPr>
        <w:t>V. SÁCH VỀ BÁC HỒ</w:t>
      </w:r>
      <w:r>
        <w:rPr>
          <w:b/>
          <w:sz w:val="28"/>
          <w:szCs w:val="28"/>
          <w:highlight w:val="cyan"/>
        </w:rPr>
        <w:t xml:space="preserve"> </w:t>
      </w:r>
    </w:p>
    <w:p>
      <w:pPr>
        <w:rPr>
          <w:b/>
          <w:bCs/>
          <w:sz w:val="28"/>
          <w:szCs w:val="28"/>
        </w:rPr>
      </w:pPr>
      <w:r>
        <w:rPr>
          <w:b/>
          <w:bCs/>
          <w:sz w:val="28"/>
          <w:szCs w:val="28"/>
        </w:rPr>
        <w:t>Phong cách Bác Hồ đến cơ sở</w:t>
      </w:r>
    </w:p>
    <w:p>
      <w:pPr>
        <w:ind w:firstLine="567"/>
        <w:jc w:val="center"/>
        <w:rPr>
          <w:b/>
          <w:bCs/>
          <w:sz w:val="28"/>
          <w:szCs w:val="28"/>
        </w:rPr>
      </w:pPr>
    </w:p>
    <w:p>
      <w:pPr>
        <w:ind w:firstLine="567"/>
        <w:jc w:val="both"/>
        <w:rPr>
          <w:sz w:val="28"/>
          <w:szCs w:val="28"/>
        </w:rPr>
      </w:pPr>
      <w:r>
        <w:drawing>
          <wp:anchor distT="0" distB="0" distL="114300" distR="114300" simplePos="0" relativeHeight="251659264" behindDoc="1" locked="0" layoutInCell="1" allowOverlap="1">
            <wp:simplePos x="0" y="0"/>
            <wp:positionH relativeFrom="column">
              <wp:posOffset>56515</wp:posOffset>
            </wp:positionH>
            <wp:positionV relativeFrom="paragraph">
              <wp:posOffset>51435</wp:posOffset>
            </wp:positionV>
            <wp:extent cx="3024505" cy="3328670"/>
            <wp:effectExtent l="0" t="0" r="0" b="0"/>
            <wp:wrapTight wrapText="bothSides">
              <wp:wrapPolygon>
                <wp:start x="0" y="0"/>
                <wp:lineTo x="0" y="21509"/>
                <wp:lineTo x="21496" y="21509"/>
                <wp:lineTo x="214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024505" cy="3328670"/>
                    </a:xfrm>
                    <a:prstGeom prst="rect">
                      <a:avLst/>
                    </a:prstGeom>
                    <a:noFill/>
                    <a:ln>
                      <a:noFill/>
                    </a:ln>
                  </pic:spPr>
                </pic:pic>
              </a:graphicData>
            </a:graphic>
          </wp:anchor>
        </w:drawing>
      </w:r>
      <w:r>
        <w:rPr>
          <w:sz w:val="28"/>
          <w:szCs w:val="28"/>
        </w:rPr>
        <w:t>“Mỗi người dân Việt Nam đều giữ trọn trong trái tim mình hình ảnh Bác Hồ trong bộ quần áo bình dị, lội ruộng với nông dân, cùng tát nước chống hạn, cùng cuốc đất, đẩy xe với người lao động. Mỗi khi đi thăm các cơ sở, Người không cho báo trước. Người muốn biết thực chất tình hình của cơ sở, chứ không chỉ nghe qua báo cáo. Khi xuống đến cơ sở, điều quan tâm đầu tiên của Người là xem nơi ăn chốn ở, đến nhà ăn tập thể, nhà vệ sinh trước rồi mới ra hội trường nói chuyện với mọi người. Tác phong sâu sát, tỷ mỷ, cụ thể thiết thực của Người là mẫu mực của phong cách người lãnh đạo, người “đầy tớ của nhân dân”. Bác đến với mọi người một cách rất tự nhiên và bình dị. Mọi nghi thức đối với Người đều trở thành không cần thiết. Để tiếp tục đẩy mạnh việc tuyên truyền, học tập và làm theo phong cách của Chủ tịch Hồ Chí Minh, Nhà xuất bản Chính trị quốc gia Sự thật tái bản cuốn sách: Phong cách Bác Hồ đến cơ sở của Nhà báo Hồng Khanh - Nguyên Ủy viên Ban Biên tập Báo Nhân dân. Thông qua lời kể của các đồng chí nhiều năm được sống và làm việc cùng Bác, Nhà báo Hồng Khanh đã ghi lại những câu chuyện Bác Hồ đi thăm cơ sở, từ lên mặt trận, ra cánh đồng, vào xưởng máy, dự lớp học đến vui đón Tết. Mỗi câu chuyện đều thể hiện phong cách giản dị, gần gũi nhưng rất tinh tế của Bác. Lối sống, tác phong quần chúng của Bác luôn là chuẩn mực nhân cách con người cách mạng nhưng lại không xa lạ với mỗi con người bình thường, mà ai cũng có thể soi mình, học tập, noi theo”.</w:t>
      </w:r>
    </w:p>
    <w:p>
      <w:pPr>
        <w:jc w:val="right"/>
        <w:rPr>
          <w:sz w:val="26"/>
          <w:szCs w:val="26"/>
        </w:rPr>
      </w:pPr>
      <w:r>
        <w:rPr>
          <w:b/>
          <w:bCs/>
          <w:sz w:val="26"/>
          <w:szCs w:val="26"/>
        </w:rPr>
        <w:t>Xem</w:t>
      </w:r>
      <w:r>
        <w:rPr>
          <w:b/>
          <w:bCs/>
          <w:sz w:val="26"/>
          <w:szCs w:val="26"/>
          <w:lang w:val="vi-VN"/>
        </w:rPr>
        <w:t xml:space="preserve"> thêm tại</w:t>
      </w:r>
      <w:r>
        <w:rPr>
          <w:b/>
          <w:bCs/>
          <w:sz w:val="26"/>
          <w:szCs w:val="26"/>
        </w:rPr>
        <w:t>:</w:t>
      </w:r>
      <w:r>
        <w:rPr>
          <w:sz w:val="26"/>
          <w:szCs w:val="26"/>
        </w:rPr>
        <w:t xml:space="preserve"> </w:t>
      </w:r>
      <w:r>
        <w:fldChar w:fldCharType="begin"/>
      </w:r>
      <w:r>
        <w:instrText xml:space="preserve"> HYPERLINK "https://bom.so/jZ7yCR" </w:instrText>
      </w:r>
      <w:r>
        <w:fldChar w:fldCharType="separate"/>
      </w:r>
      <w:r>
        <w:rPr>
          <w:rStyle w:val="51"/>
          <w:sz w:val="26"/>
          <w:szCs w:val="26"/>
        </w:rPr>
        <w:t>https://bom.so/jZ7yCR</w:t>
      </w:r>
      <w:r>
        <w:rPr>
          <w:rStyle w:val="51"/>
          <w:sz w:val="26"/>
          <w:szCs w:val="26"/>
        </w:rPr>
        <w:fldChar w:fldCharType="end"/>
      </w:r>
    </w:p>
    <w:p>
      <w:pPr>
        <w:spacing w:before="120" w:after="120"/>
        <w:ind w:right="2"/>
        <w:jc w:val="both"/>
        <w:rPr>
          <w:i/>
          <w:color w:val="000000" w:themeColor="text1"/>
          <w:sz w:val="28"/>
          <w:szCs w:val="28"/>
          <w14:textFill>
            <w14:solidFill>
              <w14:schemeClr w14:val="tx1"/>
            </w14:solidFill>
          </w14:textFill>
        </w:rPr>
      </w:pPr>
    </w:p>
    <w:p>
      <w:pPr>
        <w:pBdr>
          <w:top w:val="dotted" w:color="FFFFFF" w:sz="4" w:space="0"/>
          <w:left w:val="dotted" w:color="FFFFFF" w:sz="4" w:space="0"/>
          <w:bottom w:val="dotted" w:color="FFFFFF" w:sz="4" w:space="9"/>
          <w:right w:val="dotted" w:color="FFFFFF" w:sz="4" w:space="0"/>
        </w:pBdr>
        <w:spacing w:before="120" w:after="120"/>
        <w:ind w:firstLine="567"/>
        <w:jc w:val="both"/>
        <w:rPr>
          <w:b/>
          <w:color w:val="000000" w:themeColor="text1"/>
          <w:sz w:val="28"/>
          <w:szCs w:val="28"/>
          <w:lang w:val="vi-VN"/>
          <w14:textFill>
            <w14:solidFill>
              <w14:schemeClr w14:val="tx1"/>
            </w14:solidFill>
          </w14:textFill>
        </w:rPr>
      </w:pPr>
      <w:r>
        <w:rPr>
          <w:b/>
          <w:color w:val="000000" w:themeColor="text1"/>
          <w:sz w:val="28"/>
          <w:szCs w:val="28"/>
          <w:highlight w:val="cyan"/>
          <w14:textFill>
            <w14:solidFill>
              <w14:schemeClr w14:val="tx1"/>
            </w14:solidFill>
          </w14:textFill>
        </w:rPr>
        <w:t>VI</w:t>
      </w:r>
      <w:r>
        <w:rPr>
          <w:b/>
          <w:color w:val="000000" w:themeColor="text1"/>
          <w:sz w:val="28"/>
          <w:szCs w:val="28"/>
          <w:highlight w:val="cyan"/>
          <w:lang w:val="vi-VN"/>
          <w14:textFill>
            <w14:solidFill>
              <w14:schemeClr w14:val="tx1"/>
            </w14:solidFill>
          </w14:textFill>
        </w:rPr>
        <w:t>.</w:t>
      </w:r>
      <w:r>
        <w:rPr>
          <w:color w:val="000000" w:themeColor="text1"/>
          <w:sz w:val="28"/>
          <w:szCs w:val="28"/>
          <w:highlight w:val="cyan"/>
          <w:lang w:val="vi-VN"/>
          <w14:textFill>
            <w14:solidFill>
              <w14:schemeClr w14:val="tx1"/>
            </w14:solidFill>
          </w14:textFill>
        </w:rPr>
        <w:t xml:space="preserve"> </w:t>
      </w:r>
      <w:r>
        <w:rPr>
          <w:b/>
          <w:color w:val="000000" w:themeColor="text1"/>
          <w:sz w:val="28"/>
          <w:szCs w:val="28"/>
          <w:highlight w:val="cyan"/>
          <w:lang w:val="vi-VN"/>
          <w14:textFill>
            <w14:solidFill>
              <w14:schemeClr w14:val="tx1"/>
            </w14:solidFill>
          </w14:textFill>
        </w:rPr>
        <w:t xml:space="preserve">SỨC KHOẺ, Y TẾ </w:t>
      </w:r>
      <w:r>
        <w:rPr>
          <w:b/>
          <w:sz w:val="28"/>
          <w:szCs w:val="28"/>
          <w:highlight w:val="cyan"/>
        </w:rPr>
        <w:t xml:space="preserve"> </w:t>
      </w:r>
    </w:p>
    <w:p>
      <w:pPr>
        <w:pBdr>
          <w:top w:val="dotted" w:color="FFFFFF" w:sz="4" w:space="0"/>
          <w:left w:val="dotted" w:color="FFFFFF" w:sz="4" w:space="0"/>
          <w:bottom w:val="dotted" w:color="FFFFFF" w:sz="4" w:space="9"/>
          <w:right w:val="dotted" w:color="FFFFFF" w:sz="4" w:space="0"/>
        </w:pBdr>
        <w:spacing w:before="120" w:after="120"/>
        <w:ind w:firstLine="567"/>
        <w:jc w:val="both"/>
        <w:rPr>
          <w:b/>
          <w:color w:val="000000" w:themeColor="text1"/>
          <w:sz w:val="28"/>
          <w:szCs w:val="28"/>
          <w:lang w:val="vi-VN"/>
          <w14:textFill>
            <w14:solidFill>
              <w14:schemeClr w14:val="tx1"/>
            </w14:solidFill>
          </w14:textFill>
        </w:rPr>
      </w:pPr>
      <w:r>
        <w:rPr>
          <w:b/>
          <w:color w:val="000000" w:themeColor="text1"/>
          <w:sz w:val="28"/>
          <w:szCs w:val="28"/>
          <w:lang w:val="vi-VN"/>
          <w14:textFill>
            <w14:solidFill>
              <w14:schemeClr w14:val="tx1"/>
            </w14:solidFill>
          </w14:textFill>
        </w:rPr>
        <w:t>1. Tăng cường giám sát, ngăn bệnh Marburg đặc biệt nguy hiểm xâm nhập</w:t>
      </w:r>
    </w:p>
    <w:p>
      <w:pPr>
        <w:spacing w:before="120" w:after="120"/>
        <w:ind w:firstLine="567"/>
        <w:jc w:val="both"/>
        <w:rPr>
          <w:bCs/>
          <w:color w:val="000000" w:themeColor="text1"/>
          <w:sz w:val="28"/>
          <w:szCs w:val="28"/>
          <w:lang w:val="vi-VN"/>
          <w14:textFill>
            <w14:solidFill>
              <w14:schemeClr w14:val="tx1"/>
            </w14:solidFill>
          </w14:textFill>
        </w:rPr>
      </w:pPr>
      <w:r>
        <w:rPr>
          <w:bCs/>
          <w:color w:val="000000" w:themeColor="text1"/>
          <w:sz w:val="28"/>
          <w:szCs w:val="28"/>
          <w14:textFill>
            <w14:solidFill>
              <w14:schemeClr w14:val="tx1"/>
            </w14:solidFill>
          </w14:textFill>
        </w:rPr>
        <w:drawing>
          <wp:anchor distT="0" distB="0" distL="114300" distR="114300" simplePos="0" relativeHeight="251661312" behindDoc="1" locked="0" layoutInCell="1" allowOverlap="1">
            <wp:simplePos x="0" y="0"/>
            <wp:positionH relativeFrom="column">
              <wp:posOffset>2190115</wp:posOffset>
            </wp:positionH>
            <wp:positionV relativeFrom="paragraph">
              <wp:posOffset>57150</wp:posOffset>
            </wp:positionV>
            <wp:extent cx="3481705" cy="2320290"/>
            <wp:effectExtent l="0" t="0" r="0" b="3810"/>
            <wp:wrapTight wrapText="bothSides">
              <wp:wrapPolygon>
                <wp:start x="0" y="0"/>
                <wp:lineTo x="0" y="21517"/>
                <wp:lineTo x="21509" y="21517"/>
                <wp:lineTo x="2150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481705" cy="2320290"/>
                    </a:xfrm>
                    <a:prstGeom prst="rect">
                      <a:avLst/>
                    </a:prstGeom>
                  </pic:spPr>
                </pic:pic>
              </a:graphicData>
            </a:graphic>
          </wp:anchor>
        </w:drawing>
      </w:r>
      <w:r>
        <w:rPr>
          <w:bCs/>
          <w:color w:val="000000" w:themeColor="text1"/>
          <w:sz w:val="28"/>
          <w:szCs w:val="28"/>
          <w:lang w:val="vi-VN"/>
          <w14:textFill>
            <w14:solidFill>
              <w14:schemeClr w14:val="tx1"/>
            </w14:solidFill>
          </w14:textFill>
        </w:rPr>
        <w:t>Bộ Y tế cho biết, bệnh Marburg là một bệnh truyền nhiễm cấp tính do virus Marburg gây ra. Ổ chứa tự nhiên là loài dơi ăn quả (Rousettus aegyptiacus).</w:t>
      </w:r>
    </w:p>
    <w:p>
      <w:pPr>
        <w:spacing w:before="120" w:after="120"/>
        <w:ind w:firstLine="567"/>
        <w:jc w:val="both"/>
        <w:rPr>
          <w:bCs/>
          <w:color w:val="000000" w:themeColor="text1"/>
          <w:sz w:val="28"/>
          <w:szCs w:val="28"/>
          <w:lang w:val="vi-VN"/>
          <w14:textFill>
            <w14:solidFill>
              <w14:schemeClr w14:val="tx1"/>
            </w14:solidFill>
          </w14:textFill>
        </w:rPr>
      </w:pPr>
      <w:r>
        <w:rPr>
          <w:bCs/>
          <w:color w:val="000000" w:themeColor="text1"/>
          <w:sz w:val="28"/>
          <w:szCs w:val="28"/>
          <w:lang w:val="vi-VN"/>
          <w14:textFill>
            <w14:solidFill>
              <w14:schemeClr w14:val="tx1"/>
            </w14:solidFill>
          </w14:textFill>
        </w:rPr>
        <w:t>Bệnh có thể lây truyền từ động vật (dơi, động vật linh trưởng) sang người. Bệnh lây từ người sang người qua tiếp xúc trực tiếp với máu, dịch tiết cơ thể (nước tiểu, mồ hôi, nước bọt, chất nôn, sữa mẹ, tinh dịch...) hoặc với môi trường/vật dụng bị ô nhiễm bởi dịch tiết của người mắc, chết do virus Marburg.</w:t>
      </w:r>
    </w:p>
    <w:p>
      <w:pPr>
        <w:spacing w:before="120" w:after="120"/>
        <w:ind w:firstLine="567"/>
        <w:jc w:val="both"/>
        <w:rPr>
          <w:bCs/>
          <w:color w:val="000000" w:themeColor="text1"/>
          <w:sz w:val="28"/>
          <w:szCs w:val="28"/>
          <w:lang w:val="vi-VN"/>
          <w14:textFill>
            <w14:solidFill>
              <w14:schemeClr w14:val="tx1"/>
            </w14:solidFill>
          </w14:textFill>
        </w:rPr>
      </w:pPr>
      <w:r>
        <w:rPr>
          <w:bCs/>
          <w:color w:val="000000" w:themeColor="text1"/>
          <w:sz w:val="28"/>
          <w:szCs w:val="28"/>
          <w:lang w:val="vi-VN"/>
          <w14:textFill>
            <w14:solidFill>
              <w14:schemeClr w14:val="tx1"/>
            </w14:solidFill>
          </w14:textFill>
        </w:rPr>
        <w:t>Thời gian ủ bệnh của bệnh Marburg từ 2-21 ngày. Người bệnh khởi phát với các triệu chứng sốt cao, đau đầu, khó chịu, sau đó có thể xuất hiện tiêu chảy, đau bụng, chuột rút, buồn nôn, nôn, xuất huyết. Hiện bệnh chưa có vaccine và thuốc điều trị đặc hiệu.</w:t>
      </w:r>
    </w:p>
    <w:p>
      <w:pPr>
        <w:spacing w:before="120" w:after="120"/>
        <w:ind w:firstLine="567"/>
        <w:jc w:val="both"/>
        <w:rPr>
          <w:bCs/>
          <w:color w:val="000000" w:themeColor="text1"/>
          <w:sz w:val="28"/>
          <w:szCs w:val="28"/>
          <w:lang w:val="vi-VN"/>
          <w14:textFill>
            <w14:solidFill>
              <w14:schemeClr w14:val="tx1"/>
            </w14:solidFill>
          </w14:textFill>
        </w:rPr>
      </w:pPr>
      <w:r>
        <w:rPr>
          <w:bCs/>
          <w:color w:val="000000" w:themeColor="text1"/>
          <w:sz w:val="28"/>
          <w:szCs w:val="28"/>
          <w:lang w:val="vi-VN"/>
          <w14:textFill>
            <w14:solidFill>
              <w14:schemeClr w14:val="tx1"/>
            </w14:solidFill>
          </w14:textFill>
        </w:rPr>
        <w:t>Bộ Y tế nhấn mạnh: Đây là bệnh đặc biệt nguy hiểm, khả năng lây truyền và tỷ lệ tử vong cao (50% có thể lên tới 88%). Bệnh được phân loại thuộc nhóm A trong luật Phòng chống bệnh truyền nhiễm của nước ta.</w:t>
      </w:r>
    </w:p>
    <w:p>
      <w:pPr>
        <w:spacing w:before="120" w:after="120"/>
        <w:ind w:firstLine="567"/>
        <w:jc w:val="right"/>
        <w:rPr>
          <w:b/>
          <w:color w:val="000000" w:themeColor="text1"/>
          <w:sz w:val="28"/>
          <w:szCs w:val="28"/>
          <w:lang w:val="vi-VN"/>
          <w14:textFill>
            <w14:solidFill>
              <w14:schemeClr w14:val="tx1"/>
            </w14:solidFill>
          </w14:textFill>
        </w:rPr>
      </w:pPr>
      <w:r>
        <w:rPr>
          <w:b/>
          <w:color w:val="000000" w:themeColor="text1"/>
          <w:sz w:val="28"/>
          <w:szCs w:val="28"/>
          <w:lang w:val="vi-VN"/>
          <w14:textFill>
            <w14:solidFill>
              <w14:schemeClr w14:val="tx1"/>
            </w14:solidFill>
          </w14:textFill>
        </w:rPr>
        <w:t>Nguồn: Báo Chính phủ</w:t>
      </w:r>
    </w:p>
    <w:p>
      <w:pPr>
        <w:spacing w:before="120" w:after="120"/>
        <w:ind w:firstLine="567"/>
        <w:jc w:val="right"/>
        <w:rPr>
          <w:bCs/>
          <w:color w:val="000000" w:themeColor="text1"/>
          <w:sz w:val="28"/>
          <w:szCs w:val="28"/>
          <w14:textFill>
            <w14:solidFill>
              <w14:schemeClr w14:val="tx1"/>
            </w14:solidFill>
          </w14:textFill>
        </w:rPr>
      </w:pPr>
      <w:r>
        <w:rPr>
          <w:bCs/>
          <w:color w:val="000000" w:themeColor="text1"/>
          <w:sz w:val="28"/>
          <w:szCs w:val="28"/>
          <w:lang w:val="vi-VN"/>
          <w14:textFill>
            <w14:solidFill>
              <w14:schemeClr w14:val="tx1"/>
            </w14:solidFill>
          </w14:textFill>
        </w:rPr>
        <w:t xml:space="preserve">Xem thêm tại: </w:t>
      </w:r>
      <w:r>
        <w:fldChar w:fldCharType="begin"/>
      </w:r>
      <w:r>
        <w:instrText xml:space="preserve"> HYPERLINK "https://bom.so/WgdTdl" </w:instrText>
      </w:r>
      <w:r>
        <w:fldChar w:fldCharType="separate"/>
      </w:r>
      <w:r>
        <w:rPr>
          <w:rStyle w:val="51"/>
          <w:bCs/>
          <w:sz w:val="28"/>
          <w:szCs w:val="28"/>
          <w:lang w:val="vi-VN"/>
        </w:rPr>
        <w:t>https://bom.so/WgdTdl</w:t>
      </w:r>
      <w:r>
        <w:rPr>
          <w:rStyle w:val="51"/>
          <w:bCs/>
          <w:sz w:val="28"/>
          <w:szCs w:val="28"/>
          <w:lang w:val="vi-VN"/>
        </w:rPr>
        <w:fldChar w:fldCharType="end"/>
      </w:r>
      <w:r>
        <w:rPr>
          <w:bCs/>
          <w:color w:val="000000" w:themeColor="text1"/>
          <w:sz w:val="28"/>
          <w:szCs w:val="28"/>
          <w:lang w:val="vi-VN"/>
          <w14:textFill>
            <w14:solidFill>
              <w14:schemeClr w14:val="tx1"/>
            </w14:solidFill>
          </w14:textFill>
        </w:rPr>
        <w:t xml:space="preserve"> </w:t>
      </w:r>
    </w:p>
    <w:p>
      <w:pPr>
        <w:spacing w:before="120" w:after="120"/>
        <w:jc w:val="center"/>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Biên soạn: Ban Tổ chức – Kiểm tra Tỉnh đoàn</w:t>
      </w:r>
    </w:p>
    <w:sectPr>
      <w:headerReference r:id="rId3" w:type="default"/>
      <w:pgSz w:w="11909" w:h="16834"/>
      <w:pgMar w:top="450" w:right="1134" w:bottom="1134" w:left="1701" w:header="720" w:footer="720" w:gutter="0"/>
      <w:pgNumType w:start="1"/>
      <w:cols w:space="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imHei">
    <w:altName w:val="SimSun"/>
    <w:panose1 w:val="02010600030101010101"/>
    <w:charset w:val="86"/>
    <w:family w:val="modern"/>
    <w:pitch w:val="default"/>
    <w:sig w:usb0="00000000" w:usb1="00000000" w:usb2="00000010" w:usb3="00000000" w:csb0="00040000" w:csb1="00000000"/>
  </w:font>
  <w:font w:name="VNI-Times">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88"/>
        <w:sz w:val="28"/>
        <w:szCs w:val="28"/>
      </w:rPr>
      <w:id w:val="-897360515"/>
      <w:docPartObj>
        <w:docPartGallery w:val="AutoText"/>
      </w:docPartObj>
    </w:sdtPr>
    <w:sdtEndPr>
      <w:rPr>
        <w:rStyle w:val="88"/>
        <w:sz w:val="28"/>
        <w:szCs w:val="28"/>
      </w:rPr>
    </w:sdtEndPr>
    <w:sdtContent>
      <w:p>
        <w:pPr>
          <w:pStyle w:val="40"/>
          <w:framePr w:wrap="auto" w:vAnchor="text" w:hAnchor="margin" w:xAlign="center" w:y="1"/>
          <w:rPr>
            <w:rStyle w:val="88"/>
            <w:sz w:val="28"/>
            <w:szCs w:val="28"/>
          </w:rPr>
        </w:pPr>
        <w:r>
          <w:rPr>
            <w:rStyle w:val="88"/>
            <w:sz w:val="28"/>
            <w:szCs w:val="28"/>
          </w:rPr>
          <w:fldChar w:fldCharType="begin"/>
        </w:r>
        <w:r>
          <w:rPr>
            <w:rStyle w:val="88"/>
            <w:sz w:val="28"/>
            <w:szCs w:val="28"/>
          </w:rPr>
          <w:instrText xml:space="preserve"> PAGE </w:instrText>
        </w:r>
        <w:r>
          <w:rPr>
            <w:rStyle w:val="88"/>
            <w:sz w:val="28"/>
            <w:szCs w:val="28"/>
          </w:rPr>
          <w:fldChar w:fldCharType="separate"/>
        </w:r>
        <w:r>
          <w:rPr>
            <w:rStyle w:val="88"/>
            <w:sz w:val="28"/>
            <w:szCs w:val="28"/>
          </w:rPr>
          <w:t>2</w:t>
        </w:r>
        <w:r>
          <w:rPr>
            <w:rStyle w:val="88"/>
            <w:sz w:val="28"/>
            <w:szCs w:val="28"/>
          </w:rPr>
          <w:fldChar w:fldCharType="end"/>
        </w:r>
      </w:p>
    </w:sdtContent>
  </w:sdt>
  <w:p>
    <w:pPr>
      <w:pStyle w:val="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82"/>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81"/>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80"/>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79"/>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72"/>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71"/>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70"/>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69"/>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78"/>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68"/>
      <w:lvlText w:val=""/>
      <w:lvlJc w:val="left"/>
      <w:pPr>
        <w:tabs>
          <w:tab w:val="left" w:pos="360"/>
        </w:tabs>
        <w:ind w:left="360" w:hanging="360" w:hangingChars="200"/>
      </w:pPr>
      <w:rPr>
        <w:rFonts w:hint="default" w:ascii="Wingdings" w:hAnsi="Wingdings"/>
      </w:rPr>
    </w:lvl>
  </w:abstractNum>
  <w:abstractNum w:abstractNumId="10">
    <w:nsid w:val="34C47433"/>
    <w:multiLevelType w:val="multilevel"/>
    <w:tmpl w:val="34C4743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VerticalSpacing w:val="156"/>
  <w:noPunctuationKerning w:val="1"/>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05C"/>
    <w:rsid w:val="0000229B"/>
    <w:rsid w:val="00005FB7"/>
    <w:rsid w:val="00014C8C"/>
    <w:rsid w:val="0001500E"/>
    <w:rsid w:val="00020960"/>
    <w:rsid w:val="0002268E"/>
    <w:rsid w:val="000333AA"/>
    <w:rsid w:val="00035E94"/>
    <w:rsid w:val="00037C87"/>
    <w:rsid w:val="00043E86"/>
    <w:rsid w:val="000444A8"/>
    <w:rsid w:val="000464C0"/>
    <w:rsid w:val="0005002F"/>
    <w:rsid w:val="00050A31"/>
    <w:rsid w:val="00057D07"/>
    <w:rsid w:val="00061501"/>
    <w:rsid w:val="000647D8"/>
    <w:rsid w:val="00066633"/>
    <w:rsid w:val="00066D7B"/>
    <w:rsid w:val="000716D2"/>
    <w:rsid w:val="00071AAB"/>
    <w:rsid w:val="00073EDE"/>
    <w:rsid w:val="00077EDF"/>
    <w:rsid w:val="000840AA"/>
    <w:rsid w:val="00092B2C"/>
    <w:rsid w:val="00095E98"/>
    <w:rsid w:val="000A4D89"/>
    <w:rsid w:val="000B76C4"/>
    <w:rsid w:val="000C5610"/>
    <w:rsid w:val="000C6202"/>
    <w:rsid w:val="000D3162"/>
    <w:rsid w:val="000E0794"/>
    <w:rsid w:val="000E118E"/>
    <w:rsid w:val="000E1F35"/>
    <w:rsid w:val="000E6552"/>
    <w:rsid w:val="000F074A"/>
    <w:rsid w:val="000F3A4F"/>
    <w:rsid w:val="000F514D"/>
    <w:rsid w:val="000F59AC"/>
    <w:rsid w:val="000F6309"/>
    <w:rsid w:val="00104AD6"/>
    <w:rsid w:val="001150A6"/>
    <w:rsid w:val="00115362"/>
    <w:rsid w:val="00116918"/>
    <w:rsid w:val="00122AA8"/>
    <w:rsid w:val="0012759E"/>
    <w:rsid w:val="001347EF"/>
    <w:rsid w:val="001364FE"/>
    <w:rsid w:val="001368DD"/>
    <w:rsid w:val="0014164A"/>
    <w:rsid w:val="00147DB3"/>
    <w:rsid w:val="001518A5"/>
    <w:rsid w:val="00152926"/>
    <w:rsid w:val="0015749E"/>
    <w:rsid w:val="00167A62"/>
    <w:rsid w:val="00170095"/>
    <w:rsid w:val="001704DE"/>
    <w:rsid w:val="00170E4F"/>
    <w:rsid w:val="001743F4"/>
    <w:rsid w:val="00177317"/>
    <w:rsid w:val="00177A74"/>
    <w:rsid w:val="00185BE7"/>
    <w:rsid w:val="00186114"/>
    <w:rsid w:val="00187C33"/>
    <w:rsid w:val="001936B7"/>
    <w:rsid w:val="00194A5C"/>
    <w:rsid w:val="00196AB1"/>
    <w:rsid w:val="001A699B"/>
    <w:rsid w:val="001A710E"/>
    <w:rsid w:val="001B5DF2"/>
    <w:rsid w:val="001C154C"/>
    <w:rsid w:val="001C375F"/>
    <w:rsid w:val="001C68EE"/>
    <w:rsid w:val="001C6D11"/>
    <w:rsid w:val="001D33C9"/>
    <w:rsid w:val="001D4B59"/>
    <w:rsid w:val="001E2D3A"/>
    <w:rsid w:val="001E53A3"/>
    <w:rsid w:val="001F20FD"/>
    <w:rsid w:val="001F2545"/>
    <w:rsid w:val="001F2A31"/>
    <w:rsid w:val="00201333"/>
    <w:rsid w:val="00207630"/>
    <w:rsid w:val="00210FA7"/>
    <w:rsid w:val="00212806"/>
    <w:rsid w:val="0021465A"/>
    <w:rsid w:val="00214DAB"/>
    <w:rsid w:val="00216417"/>
    <w:rsid w:val="002174B0"/>
    <w:rsid w:val="002177A6"/>
    <w:rsid w:val="00223BA4"/>
    <w:rsid w:val="00231D81"/>
    <w:rsid w:val="0024093B"/>
    <w:rsid w:val="00243E36"/>
    <w:rsid w:val="00253307"/>
    <w:rsid w:val="00253506"/>
    <w:rsid w:val="00253EC5"/>
    <w:rsid w:val="002577E0"/>
    <w:rsid w:val="00263477"/>
    <w:rsid w:val="00265ED3"/>
    <w:rsid w:val="0026631D"/>
    <w:rsid w:val="0026633C"/>
    <w:rsid w:val="00267A94"/>
    <w:rsid w:val="00271131"/>
    <w:rsid w:val="00273A6D"/>
    <w:rsid w:val="002745C0"/>
    <w:rsid w:val="002755F9"/>
    <w:rsid w:val="00280172"/>
    <w:rsid w:val="0028140D"/>
    <w:rsid w:val="0028297B"/>
    <w:rsid w:val="00292613"/>
    <w:rsid w:val="0029345B"/>
    <w:rsid w:val="00293EA5"/>
    <w:rsid w:val="00294750"/>
    <w:rsid w:val="002A1349"/>
    <w:rsid w:val="002B236B"/>
    <w:rsid w:val="002C28B4"/>
    <w:rsid w:val="002C2F53"/>
    <w:rsid w:val="002C4DEE"/>
    <w:rsid w:val="002D0775"/>
    <w:rsid w:val="002D22F0"/>
    <w:rsid w:val="002D29F2"/>
    <w:rsid w:val="002E02C1"/>
    <w:rsid w:val="002E4C8C"/>
    <w:rsid w:val="002F0018"/>
    <w:rsid w:val="0030371A"/>
    <w:rsid w:val="00306BBF"/>
    <w:rsid w:val="003157BD"/>
    <w:rsid w:val="003173C4"/>
    <w:rsid w:val="00322BAD"/>
    <w:rsid w:val="0033518C"/>
    <w:rsid w:val="003365CA"/>
    <w:rsid w:val="003430A8"/>
    <w:rsid w:val="003437C2"/>
    <w:rsid w:val="0035337F"/>
    <w:rsid w:val="00353687"/>
    <w:rsid w:val="00354411"/>
    <w:rsid w:val="0036242E"/>
    <w:rsid w:val="00363DBE"/>
    <w:rsid w:val="00374391"/>
    <w:rsid w:val="00377186"/>
    <w:rsid w:val="00392552"/>
    <w:rsid w:val="00396690"/>
    <w:rsid w:val="003A1C03"/>
    <w:rsid w:val="003A795C"/>
    <w:rsid w:val="003C4349"/>
    <w:rsid w:val="003D425A"/>
    <w:rsid w:val="003D438A"/>
    <w:rsid w:val="003D4F58"/>
    <w:rsid w:val="003D6EDD"/>
    <w:rsid w:val="003D7536"/>
    <w:rsid w:val="003D7BB2"/>
    <w:rsid w:val="003E2DDB"/>
    <w:rsid w:val="003F2AF8"/>
    <w:rsid w:val="003F5E08"/>
    <w:rsid w:val="00411810"/>
    <w:rsid w:val="00411F38"/>
    <w:rsid w:val="00414627"/>
    <w:rsid w:val="00415BC7"/>
    <w:rsid w:val="004179BB"/>
    <w:rsid w:val="00422C13"/>
    <w:rsid w:val="00424464"/>
    <w:rsid w:val="00425D63"/>
    <w:rsid w:val="0043683F"/>
    <w:rsid w:val="00446BA2"/>
    <w:rsid w:val="00453964"/>
    <w:rsid w:val="004643D8"/>
    <w:rsid w:val="00464BDE"/>
    <w:rsid w:val="0047749A"/>
    <w:rsid w:val="00482A41"/>
    <w:rsid w:val="00492935"/>
    <w:rsid w:val="00496073"/>
    <w:rsid w:val="00497C24"/>
    <w:rsid w:val="004B4589"/>
    <w:rsid w:val="004B5A8B"/>
    <w:rsid w:val="004C0267"/>
    <w:rsid w:val="004C1E99"/>
    <w:rsid w:val="004C2A01"/>
    <w:rsid w:val="004C42E5"/>
    <w:rsid w:val="004C620B"/>
    <w:rsid w:val="004C7BA5"/>
    <w:rsid w:val="004D140B"/>
    <w:rsid w:val="004D3759"/>
    <w:rsid w:val="004D42C1"/>
    <w:rsid w:val="004D79C0"/>
    <w:rsid w:val="004E06B1"/>
    <w:rsid w:val="004E1468"/>
    <w:rsid w:val="004E7628"/>
    <w:rsid w:val="004E7F28"/>
    <w:rsid w:val="004F48F2"/>
    <w:rsid w:val="004F6B15"/>
    <w:rsid w:val="00502446"/>
    <w:rsid w:val="005106CB"/>
    <w:rsid w:val="00512412"/>
    <w:rsid w:val="005124B4"/>
    <w:rsid w:val="00513510"/>
    <w:rsid w:val="005136D4"/>
    <w:rsid w:val="005149B1"/>
    <w:rsid w:val="00520AF3"/>
    <w:rsid w:val="005240E9"/>
    <w:rsid w:val="005258D9"/>
    <w:rsid w:val="00531F26"/>
    <w:rsid w:val="00543E1D"/>
    <w:rsid w:val="00552E36"/>
    <w:rsid w:val="005565E2"/>
    <w:rsid w:val="005566BD"/>
    <w:rsid w:val="005647F2"/>
    <w:rsid w:val="005662D1"/>
    <w:rsid w:val="00570CF2"/>
    <w:rsid w:val="00573049"/>
    <w:rsid w:val="00573A09"/>
    <w:rsid w:val="00582A76"/>
    <w:rsid w:val="00582DC9"/>
    <w:rsid w:val="0058346A"/>
    <w:rsid w:val="00585DE3"/>
    <w:rsid w:val="00587359"/>
    <w:rsid w:val="0059130F"/>
    <w:rsid w:val="0059503C"/>
    <w:rsid w:val="005971C3"/>
    <w:rsid w:val="005A1A22"/>
    <w:rsid w:val="005A215E"/>
    <w:rsid w:val="005A4526"/>
    <w:rsid w:val="005A5C80"/>
    <w:rsid w:val="005A6C29"/>
    <w:rsid w:val="005B5430"/>
    <w:rsid w:val="005C0865"/>
    <w:rsid w:val="005C1B16"/>
    <w:rsid w:val="005C2409"/>
    <w:rsid w:val="005D0000"/>
    <w:rsid w:val="005D0F8F"/>
    <w:rsid w:val="005D4D6A"/>
    <w:rsid w:val="005E3B0D"/>
    <w:rsid w:val="005E4624"/>
    <w:rsid w:val="005E4DB5"/>
    <w:rsid w:val="005E527A"/>
    <w:rsid w:val="005E53D0"/>
    <w:rsid w:val="005F001F"/>
    <w:rsid w:val="005F0C7D"/>
    <w:rsid w:val="005F1E19"/>
    <w:rsid w:val="005F2C0E"/>
    <w:rsid w:val="006002EB"/>
    <w:rsid w:val="00603AF4"/>
    <w:rsid w:val="0060568B"/>
    <w:rsid w:val="00606D0F"/>
    <w:rsid w:val="006128EF"/>
    <w:rsid w:val="00612AA3"/>
    <w:rsid w:val="006146E9"/>
    <w:rsid w:val="00615B01"/>
    <w:rsid w:val="00620B79"/>
    <w:rsid w:val="00625616"/>
    <w:rsid w:val="006264B4"/>
    <w:rsid w:val="006304EB"/>
    <w:rsid w:val="006318CD"/>
    <w:rsid w:val="00636F28"/>
    <w:rsid w:val="00641D8D"/>
    <w:rsid w:val="00643033"/>
    <w:rsid w:val="0064334C"/>
    <w:rsid w:val="00644CC3"/>
    <w:rsid w:val="0064728E"/>
    <w:rsid w:val="00651327"/>
    <w:rsid w:val="006555D8"/>
    <w:rsid w:val="00661468"/>
    <w:rsid w:val="00664236"/>
    <w:rsid w:val="006649F0"/>
    <w:rsid w:val="00666758"/>
    <w:rsid w:val="00667570"/>
    <w:rsid w:val="0067245D"/>
    <w:rsid w:val="00675BBA"/>
    <w:rsid w:val="00675BD8"/>
    <w:rsid w:val="00676EF3"/>
    <w:rsid w:val="0068470E"/>
    <w:rsid w:val="00685A00"/>
    <w:rsid w:val="00686004"/>
    <w:rsid w:val="00687175"/>
    <w:rsid w:val="00691F8D"/>
    <w:rsid w:val="00695DCD"/>
    <w:rsid w:val="006A05CC"/>
    <w:rsid w:val="006A35A7"/>
    <w:rsid w:val="006A677B"/>
    <w:rsid w:val="006B15C3"/>
    <w:rsid w:val="006B235C"/>
    <w:rsid w:val="006B5AF5"/>
    <w:rsid w:val="006C3E81"/>
    <w:rsid w:val="006C4850"/>
    <w:rsid w:val="006D0A69"/>
    <w:rsid w:val="006D5313"/>
    <w:rsid w:val="006D6903"/>
    <w:rsid w:val="006D7EA0"/>
    <w:rsid w:val="006E156A"/>
    <w:rsid w:val="006E2577"/>
    <w:rsid w:val="006E3980"/>
    <w:rsid w:val="006E588A"/>
    <w:rsid w:val="006F1AC2"/>
    <w:rsid w:val="007006C6"/>
    <w:rsid w:val="00706968"/>
    <w:rsid w:val="0071202D"/>
    <w:rsid w:val="007152D7"/>
    <w:rsid w:val="00721742"/>
    <w:rsid w:val="00724321"/>
    <w:rsid w:val="00726F3D"/>
    <w:rsid w:val="00730DE8"/>
    <w:rsid w:val="00733E9E"/>
    <w:rsid w:val="00735F37"/>
    <w:rsid w:val="00740286"/>
    <w:rsid w:val="00741C55"/>
    <w:rsid w:val="00745CDA"/>
    <w:rsid w:val="00746C14"/>
    <w:rsid w:val="007523E0"/>
    <w:rsid w:val="00753C49"/>
    <w:rsid w:val="00762E65"/>
    <w:rsid w:val="00765ABB"/>
    <w:rsid w:val="00765F28"/>
    <w:rsid w:val="00773709"/>
    <w:rsid w:val="007774E4"/>
    <w:rsid w:val="00780F17"/>
    <w:rsid w:val="00791659"/>
    <w:rsid w:val="00793D25"/>
    <w:rsid w:val="007946E4"/>
    <w:rsid w:val="00795ECB"/>
    <w:rsid w:val="007978BE"/>
    <w:rsid w:val="007A3681"/>
    <w:rsid w:val="007A52A3"/>
    <w:rsid w:val="007A6BB7"/>
    <w:rsid w:val="007A77FA"/>
    <w:rsid w:val="007C079E"/>
    <w:rsid w:val="007C2C59"/>
    <w:rsid w:val="007C61EF"/>
    <w:rsid w:val="007D00DB"/>
    <w:rsid w:val="007D0E6D"/>
    <w:rsid w:val="007D11AE"/>
    <w:rsid w:val="007D172B"/>
    <w:rsid w:val="007E11E0"/>
    <w:rsid w:val="007E1490"/>
    <w:rsid w:val="007E3290"/>
    <w:rsid w:val="007E650C"/>
    <w:rsid w:val="007E6F1F"/>
    <w:rsid w:val="007E7A2D"/>
    <w:rsid w:val="007F0065"/>
    <w:rsid w:val="007F614F"/>
    <w:rsid w:val="008004C9"/>
    <w:rsid w:val="00800555"/>
    <w:rsid w:val="00801042"/>
    <w:rsid w:val="008019A7"/>
    <w:rsid w:val="00801F23"/>
    <w:rsid w:val="00806360"/>
    <w:rsid w:val="008073AB"/>
    <w:rsid w:val="008133B9"/>
    <w:rsid w:val="00813A25"/>
    <w:rsid w:val="0082629C"/>
    <w:rsid w:val="0083378D"/>
    <w:rsid w:val="00837632"/>
    <w:rsid w:val="0083763F"/>
    <w:rsid w:val="0084253D"/>
    <w:rsid w:val="00842917"/>
    <w:rsid w:val="00843B02"/>
    <w:rsid w:val="00844962"/>
    <w:rsid w:val="008471BE"/>
    <w:rsid w:val="0085640F"/>
    <w:rsid w:val="008567AA"/>
    <w:rsid w:val="0085700F"/>
    <w:rsid w:val="00864C7E"/>
    <w:rsid w:val="0086582F"/>
    <w:rsid w:val="008923C2"/>
    <w:rsid w:val="00892712"/>
    <w:rsid w:val="008A2992"/>
    <w:rsid w:val="008A680A"/>
    <w:rsid w:val="008B0BB0"/>
    <w:rsid w:val="008C2090"/>
    <w:rsid w:val="008C7CAD"/>
    <w:rsid w:val="008D1BE5"/>
    <w:rsid w:val="008D1F0F"/>
    <w:rsid w:val="008D49B2"/>
    <w:rsid w:val="008E2D60"/>
    <w:rsid w:val="008E38E6"/>
    <w:rsid w:val="008E6C4B"/>
    <w:rsid w:val="008F18C0"/>
    <w:rsid w:val="008F1B39"/>
    <w:rsid w:val="00901647"/>
    <w:rsid w:val="0090228B"/>
    <w:rsid w:val="00902966"/>
    <w:rsid w:val="009062F2"/>
    <w:rsid w:val="00907648"/>
    <w:rsid w:val="009110CC"/>
    <w:rsid w:val="0091436D"/>
    <w:rsid w:val="00921AA5"/>
    <w:rsid w:val="009224E9"/>
    <w:rsid w:val="00925191"/>
    <w:rsid w:val="0092614E"/>
    <w:rsid w:val="009272EB"/>
    <w:rsid w:val="00930D15"/>
    <w:rsid w:val="00930FA4"/>
    <w:rsid w:val="00930FDE"/>
    <w:rsid w:val="00931293"/>
    <w:rsid w:val="00945D1A"/>
    <w:rsid w:val="00945E25"/>
    <w:rsid w:val="00947F00"/>
    <w:rsid w:val="00951709"/>
    <w:rsid w:val="0095274C"/>
    <w:rsid w:val="00952F71"/>
    <w:rsid w:val="00956026"/>
    <w:rsid w:val="00956C44"/>
    <w:rsid w:val="0096117B"/>
    <w:rsid w:val="00963688"/>
    <w:rsid w:val="00967528"/>
    <w:rsid w:val="00970AEF"/>
    <w:rsid w:val="00971FCC"/>
    <w:rsid w:val="00972600"/>
    <w:rsid w:val="0097355C"/>
    <w:rsid w:val="00974118"/>
    <w:rsid w:val="009748F7"/>
    <w:rsid w:val="00974EEF"/>
    <w:rsid w:val="009840D3"/>
    <w:rsid w:val="00984C93"/>
    <w:rsid w:val="00984F6A"/>
    <w:rsid w:val="00987CE1"/>
    <w:rsid w:val="00990303"/>
    <w:rsid w:val="0099405C"/>
    <w:rsid w:val="009A3D3F"/>
    <w:rsid w:val="009B791E"/>
    <w:rsid w:val="009C600F"/>
    <w:rsid w:val="009C6C1C"/>
    <w:rsid w:val="009C7374"/>
    <w:rsid w:val="009D3723"/>
    <w:rsid w:val="009D45AE"/>
    <w:rsid w:val="009E00D7"/>
    <w:rsid w:val="009E04F2"/>
    <w:rsid w:val="009E069A"/>
    <w:rsid w:val="009E0C47"/>
    <w:rsid w:val="009F4A89"/>
    <w:rsid w:val="009F52DB"/>
    <w:rsid w:val="009F798E"/>
    <w:rsid w:val="00A001A9"/>
    <w:rsid w:val="00A00D49"/>
    <w:rsid w:val="00A03B7B"/>
    <w:rsid w:val="00A10163"/>
    <w:rsid w:val="00A16A41"/>
    <w:rsid w:val="00A200C9"/>
    <w:rsid w:val="00A2041A"/>
    <w:rsid w:val="00A20BDB"/>
    <w:rsid w:val="00A21CCD"/>
    <w:rsid w:val="00A24746"/>
    <w:rsid w:val="00A250D5"/>
    <w:rsid w:val="00A27044"/>
    <w:rsid w:val="00A32F56"/>
    <w:rsid w:val="00A36028"/>
    <w:rsid w:val="00A36FEE"/>
    <w:rsid w:val="00A4518C"/>
    <w:rsid w:val="00A46B1E"/>
    <w:rsid w:val="00A500AB"/>
    <w:rsid w:val="00A60C60"/>
    <w:rsid w:val="00A659D1"/>
    <w:rsid w:val="00A70720"/>
    <w:rsid w:val="00A71B60"/>
    <w:rsid w:val="00A91424"/>
    <w:rsid w:val="00AA2C77"/>
    <w:rsid w:val="00AB3610"/>
    <w:rsid w:val="00AB3BB3"/>
    <w:rsid w:val="00AB468E"/>
    <w:rsid w:val="00AC2EE8"/>
    <w:rsid w:val="00AC3FB9"/>
    <w:rsid w:val="00AC702A"/>
    <w:rsid w:val="00AD1B03"/>
    <w:rsid w:val="00AD226F"/>
    <w:rsid w:val="00AD350B"/>
    <w:rsid w:val="00AD436A"/>
    <w:rsid w:val="00AE1261"/>
    <w:rsid w:val="00AF6982"/>
    <w:rsid w:val="00AF6DC5"/>
    <w:rsid w:val="00B06B99"/>
    <w:rsid w:val="00B10ED9"/>
    <w:rsid w:val="00B12668"/>
    <w:rsid w:val="00B13A52"/>
    <w:rsid w:val="00B16633"/>
    <w:rsid w:val="00B17AC8"/>
    <w:rsid w:val="00B24CF4"/>
    <w:rsid w:val="00B26993"/>
    <w:rsid w:val="00B31765"/>
    <w:rsid w:val="00B37A83"/>
    <w:rsid w:val="00B40D28"/>
    <w:rsid w:val="00B4504E"/>
    <w:rsid w:val="00B4570C"/>
    <w:rsid w:val="00B45832"/>
    <w:rsid w:val="00B467F5"/>
    <w:rsid w:val="00B5208C"/>
    <w:rsid w:val="00B54D8C"/>
    <w:rsid w:val="00B56C84"/>
    <w:rsid w:val="00B606A7"/>
    <w:rsid w:val="00B70FD2"/>
    <w:rsid w:val="00B74876"/>
    <w:rsid w:val="00B851D2"/>
    <w:rsid w:val="00B85589"/>
    <w:rsid w:val="00B964C5"/>
    <w:rsid w:val="00BA4652"/>
    <w:rsid w:val="00BA6EA2"/>
    <w:rsid w:val="00BA6F25"/>
    <w:rsid w:val="00BB1324"/>
    <w:rsid w:val="00BB1993"/>
    <w:rsid w:val="00BB7C2B"/>
    <w:rsid w:val="00BC1664"/>
    <w:rsid w:val="00BC2246"/>
    <w:rsid w:val="00BC2546"/>
    <w:rsid w:val="00BD6984"/>
    <w:rsid w:val="00BD7508"/>
    <w:rsid w:val="00BE0FF4"/>
    <w:rsid w:val="00BE7088"/>
    <w:rsid w:val="00BF1069"/>
    <w:rsid w:val="00BF39CC"/>
    <w:rsid w:val="00BF710D"/>
    <w:rsid w:val="00C0100B"/>
    <w:rsid w:val="00C03A07"/>
    <w:rsid w:val="00C04714"/>
    <w:rsid w:val="00C05085"/>
    <w:rsid w:val="00C06C19"/>
    <w:rsid w:val="00C14AA6"/>
    <w:rsid w:val="00C1593D"/>
    <w:rsid w:val="00C2365C"/>
    <w:rsid w:val="00C26827"/>
    <w:rsid w:val="00C31233"/>
    <w:rsid w:val="00C33F69"/>
    <w:rsid w:val="00C346F3"/>
    <w:rsid w:val="00C4221E"/>
    <w:rsid w:val="00C423AF"/>
    <w:rsid w:val="00C434C0"/>
    <w:rsid w:val="00C5002F"/>
    <w:rsid w:val="00C5083E"/>
    <w:rsid w:val="00C50C67"/>
    <w:rsid w:val="00C54CEB"/>
    <w:rsid w:val="00C55BC2"/>
    <w:rsid w:val="00C56C7E"/>
    <w:rsid w:val="00C57066"/>
    <w:rsid w:val="00C572A8"/>
    <w:rsid w:val="00C577E1"/>
    <w:rsid w:val="00C65242"/>
    <w:rsid w:val="00C70494"/>
    <w:rsid w:val="00C705A6"/>
    <w:rsid w:val="00C73137"/>
    <w:rsid w:val="00C776A4"/>
    <w:rsid w:val="00C806AF"/>
    <w:rsid w:val="00CA0222"/>
    <w:rsid w:val="00CA2C6C"/>
    <w:rsid w:val="00CA44A4"/>
    <w:rsid w:val="00CA50BF"/>
    <w:rsid w:val="00CB4E32"/>
    <w:rsid w:val="00CC0600"/>
    <w:rsid w:val="00CC4B4F"/>
    <w:rsid w:val="00CC5723"/>
    <w:rsid w:val="00CC78AC"/>
    <w:rsid w:val="00CD1296"/>
    <w:rsid w:val="00CD1C55"/>
    <w:rsid w:val="00CD7A86"/>
    <w:rsid w:val="00CE1A1E"/>
    <w:rsid w:val="00CE49B5"/>
    <w:rsid w:val="00CE7464"/>
    <w:rsid w:val="00CF7953"/>
    <w:rsid w:val="00CF7B8C"/>
    <w:rsid w:val="00D057C1"/>
    <w:rsid w:val="00D07232"/>
    <w:rsid w:val="00D07687"/>
    <w:rsid w:val="00D10245"/>
    <w:rsid w:val="00D163F0"/>
    <w:rsid w:val="00D2091A"/>
    <w:rsid w:val="00D20F06"/>
    <w:rsid w:val="00D21BDD"/>
    <w:rsid w:val="00D236A8"/>
    <w:rsid w:val="00D25DA5"/>
    <w:rsid w:val="00D379BD"/>
    <w:rsid w:val="00D4235B"/>
    <w:rsid w:val="00D51DB4"/>
    <w:rsid w:val="00D521A8"/>
    <w:rsid w:val="00D52CB3"/>
    <w:rsid w:val="00D5520B"/>
    <w:rsid w:val="00D64A8C"/>
    <w:rsid w:val="00D65F07"/>
    <w:rsid w:val="00D67363"/>
    <w:rsid w:val="00D70243"/>
    <w:rsid w:val="00D75F3E"/>
    <w:rsid w:val="00D80FD9"/>
    <w:rsid w:val="00D815EC"/>
    <w:rsid w:val="00D84DB3"/>
    <w:rsid w:val="00D86EC9"/>
    <w:rsid w:val="00D87646"/>
    <w:rsid w:val="00D91FB1"/>
    <w:rsid w:val="00D92BB7"/>
    <w:rsid w:val="00D940CB"/>
    <w:rsid w:val="00DA0160"/>
    <w:rsid w:val="00DA27C2"/>
    <w:rsid w:val="00DA2F98"/>
    <w:rsid w:val="00DA379E"/>
    <w:rsid w:val="00DA6134"/>
    <w:rsid w:val="00DA7F7C"/>
    <w:rsid w:val="00DB0D5E"/>
    <w:rsid w:val="00DB4045"/>
    <w:rsid w:val="00DC3178"/>
    <w:rsid w:val="00DC76D2"/>
    <w:rsid w:val="00DD30ED"/>
    <w:rsid w:val="00DD3538"/>
    <w:rsid w:val="00DD4744"/>
    <w:rsid w:val="00DD7472"/>
    <w:rsid w:val="00DE2AD7"/>
    <w:rsid w:val="00DE4D22"/>
    <w:rsid w:val="00DF22A9"/>
    <w:rsid w:val="00DF4077"/>
    <w:rsid w:val="00E07876"/>
    <w:rsid w:val="00E07B0B"/>
    <w:rsid w:val="00E1563F"/>
    <w:rsid w:val="00E17B9D"/>
    <w:rsid w:val="00E257E1"/>
    <w:rsid w:val="00E303A8"/>
    <w:rsid w:val="00E34B89"/>
    <w:rsid w:val="00E357D1"/>
    <w:rsid w:val="00E507C4"/>
    <w:rsid w:val="00E530D8"/>
    <w:rsid w:val="00E55248"/>
    <w:rsid w:val="00E57AC5"/>
    <w:rsid w:val="00E64C21"/>
    <w:rsid w:val="00E656F2"/>
    <w:rsid w:val="00E72D28"/>
    <w:rsid w:val="00E74B6F"/>
    <w:rsid w:val="00E76596"/>
    <w:rsid w:val="00E90712"/>
    <w:rsid w:val="00EB3944"/>
    <w:rsid w:val="00EC1887"/>
    <w:rsid w:val="00EC24C6"/>
    <w:rsid w:val="00EC2FF7"/>
    <w:rsid w:val="00EC59D0"/>
    <w:rsid w:val="00ED5C0D"/>
    <w:rsid w:val="00ED74D8"/>
    <w:rsid w:val="00EE0097"/>
    <w:rsid w:val="00EE08A2"/>
    <w:rsid w:val="00EE63A8"/>
    <w:rsid w:val="00EF194A"/>
    <w:rsid w:val="00EF2933"/>
    <w:rsid w:val="00EF3926"/>
    <w:rsid w:val="00EF4193"/>
    <w:rsid w:val="00F05146"/>
    <w:rsid w:val="00F06471"/>
    <w:rsid w:val="00F1115D"/>
    <w:rsid w:val="00F15F4D"/>
    <w:rsid w:val="00F17D12"/>
    <w:rsid w:val="00F201A2"/>
    <w:rsid w:val="00F21447"/>
    <w:rsid w:val="00F25E93"/>
    <w:rsid w:val="00F26CD7"/>
    <w:rsid w:val="00F32DEF"/>
    <w:rsid w:val="00F34023"/>
    <w:rsid w:val="00F3513C"/>
    <w:rsid w:val="00F3560F"/>
    <w:rsid w:val="00F40063"/>
    <w:rsid w:val="00F40B3B"/>
    <w:rsid w:val="00F45FC4"/>
    <w:rsid w:val="00F465C5"/>
    <w:rsid w:val="00F475D7"/>
    <w:rsid w:val="00F5180D"/>
    <w:rsid w:val="00F51B21"/>
    <w:rsid w:val="00F51D87"/>
    <w:rsid w:val="00F52823"/>
    <w:rsid w:val="00F53015"/>
    <w:rsid w:val="00F54DFD"/>
    <w:rsid w:val="00F57EEF"/>
    <w:rsid w:val="00F62083"/>
    <w:rsid w:val="00F62DE7"/>
    <w:rsid w:val="00F631BA"/>
    <w:rsid w:val="00F63F27"/>
    <w:rsid w:val="00F66EE5"/>
    <w:rsid w:val="00F7113D"/>
    <w:rsid w:val="00F72D4B"/>
    <w:rsid w:val="00F753C3"/>
    <w:rsid w:val="00F81F08"/>
    <w:rsid w:val="00F82720"/>
    <w:rsid w:val="00F8455C"/>
    <w:rsid w:val="00F872C5"/>
    <w:rsid w:val="00F92EDF"/>
    <w:rsid w:val="00F936C2"/>
    <w:rsid w:val="00F9689A"/>
    <w:rsid w:val="00FA4D12"/>
    <w:rsid w:val="00FA639D"/>
    <w:rsid w:val="00FA6A07"/>
    <w:rsid w:val="00FC2E05"/>
    <w:rsid w:val="00FC4409"/>
    <w:rsid w:val="00FC4626"/>
    <w:rsid w:val="00FC4795"/>
    <w:rsid w:val="00FC5532"/>
    <w:rsid w:val="00FD05BE"/>
    <w:rsid w:val="00FD5DBF"/>
    <w:rsid w:val="00FE0ADE"/>
    <w:rsid w:val="00FE138E"/>
    <w:rsid w:val="00FE5702"/>
    <w:rsid w:val="014519A3"/>
    <w:rsid w:val="01786E1A"/>
    <w:rsid w:val="03754915"/>
    <w:rsid w:val="03D454D5"/>
    <w:rsid w:val="04576FB3"/>
    <w:rsid w:val="05017C52"/>
    <w:rsid w:val="05F509D2"/>
    <w:rsid w:val="063901C2"/>
    <w:rsid w:val="06921B55"/>
    <w:rsid w:val="07516A24"/>
    <w:rsid w:val="076247AC"/>
    <w:rsid w:val="076A38D5"/>
    <w:rsid w:val="0A387645"/>
    <w:rsid w:val="0D173E47"/>
    <w:rsid w:val="10575360"/>
    <w:rsid w:val="12111232"/>
    <w:rsid w:val="176D19FF"/>
    <w:rsid w:val="1C8629DB"/>
    <w:rsid w:val="1D461794"/>
    <w:rsid w:val="20E60986"/>
    <w:rsid w:val="21B14BD7"/>
    <w:rsid w:val="21BF3EED"/>
    <w:rsid w:val="24384EAC"/>
    <w:rsid w:val="28D02A86"/>
    <w:rsid w:val="2A4A44F0"/>
    <w:rsid w:val="2D801AB4"/>
    <w:rsid w:val="2DC56D26"/>
    <w:rsid w:val="2F2965ED"/>
    <w:rsid w:val="34031A0D"/>
    <w:rsid w:val="37340C21"/>
    <w:rsid w:val="38A14732"/>
    <w:rsid w:val="42F454E4"/>
    <w:rsid w:val="44C83444"/>
    <w:rsid w:val="460F7D00"/>
    <w:rsid w:val="4624793E"/>
    <w:rsid w:val="4BAA594C"/>
    <w:rsid w:val="4C714177"/>
    <w:rsid w:val="4D241A1C"/>
    <w:rsid w:val="4DFD6277"/>
    <w:rsid w:val="4FA3771F"/>
    <w:rsid w:val="54C10199"/>
    <w:rsid w:val="57E72E47"/>
    <w:rsid w:val="586B0216"/>
    <w:rsid w:val="58AF1500"/>
    <w:rsid w:val="5A062F3F"/>
    <w:rsid w:val="5A804F57"/>
    <w:rsid w:val="5ABD1A5A"/>
    <w:rsid w:val="5D4F1322"/>
    <w:rsid w:val="5E441937"/>
    <w:rsid w:val="5ECA2293"/>
    <w:rsid w:val="5F364102"/>
    <w:rsid w:val="60546516"/>
    <w:rsid w:val="64C62E02"/>
    <w:rsid w:val="6DEF7D2B"/>
    <w:rsid w:val="741C0148"/>
    <w:rsid w:val="7B7E2D93"/>
    <w:rsid w:val="7BEA24DC"/>
    <w:rsid w:val="7C777B41"/>
    <w:rsid w:val="7D956C94"/>
    <w:rsid w:val="7DCA4F70"/>
    <w:rsid w:val="7FBE6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99"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uiPriority="99" w:name="Normal Table"/>
    <w:lsdException w:qFormat="1" w:unhideWhenUsed="0" w:uiPriority="0" w:semiHidden="0" w:name="annotation subject"/>
    <w:lsdException w:qFormat="1" w:unhideWhenUsed="0" w:uiPriority="0" w:semiHidden="0" w:name="Table Simple 1"/>
    <w:lsdException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unhideWhenUsed="0" w:uiPriority="69" w:semiHidden="0" w:name="Medium Grid 3"/>
    <w:lsdException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unhideWhenUsed="0" w:uiPriority="67" w:semiHidden="0" w:name="Medium Grid 1 Accent 2"/>
    <w:lsdException w:qFormat="1" w:unhideWhenUsed="0" w:uiPriority="68" w:semiHidden="0" w:name="Medium Grid 2 Accent 2"/>
    <w:lsdException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unhideWhenUsed="0" w:uiPriority="68" w:semiHidden="0" w:name="Medium Grid 2 Accent 5"/>
    <w:lsdException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unhideWhenUsed="0" w:uiPriority="68" w:semiHidden="0" w:name="Medium Grid 2 Accent 6"/>
    <w:lsdException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b/>
      <w:bCs/>
      <w:sz w:val="32"/>
      <w:szCs w:val="32"/>
    </w:rPr>
  </w:style>
  <w:style w:type="paragraph" w:styleId="4">
    <w:name w:val="heading 3"/>
    <w:basedOn w:val="1"/>
    <w:next w:val="1"/>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b/>
      <w:bCs/>
      <w:sz w:val="28"/>
      <w:szCs w:val="28"/>
    </w:rPr>
  </w:style>
  <w:style w:type="paragraph" w:styleId="6">
    <w:name w:val="heading 5"/>
    <w:basedOn w:val="1"/>
    <w:next w:val="1"/>
    <w:semiHidden/>
    <w:unhideWhenUsed/>
    <w:qFormat/>
    <w:uiPriority w:val="0"/>
    <w:pPr>
      <w:keepNext/>
      <w:keepLines/>
      <w:spacing w:before="280" w:after="290" w:line="376" w:lineRule="auto"/>
      <w:outlineLvl w:val="4"/>
    </w:pPr>
    <w:rPr>
      <w:b/>
      <w:bCs/>
      <w:sz w:val="28"/>
      <w:szCs w:val="28"/>
    </w:rPr>
  </w:style>
  <w:style w:type="paragraph" w:styleId="7">
    <w:name w:val="heading 6"/>
    <w:basedOn w:val="1"/>
    <w:next w:val="1"/>
    <w:semiHidden/>
    <w:unhideWhenUsed/>
    <w:qFormat/>
    <w:uiPriority w:val="0"/>
    <w:pPr>
      <w:keepNext/>
      <w:keepLines/>
      <w:spacing w:before="240" w:after="64" w:line="320" w:lineRule="auto"/>
      <w:outlineLvl w:val="5"/>
    </w:pPr>
    <w:rPr>
      <w:b/>
      <w:bCs/>
    </w:rPr>
  </w:style>
  <w:style w:type="paragraph" w:styleId="8">
    <w:name w:val="heading 7"/>
    <w:basedOn w:val="1"/>
    <w:next w:val="1"/>
    <w:semiHidden/>
    <w:unhideWhenUsed/>
    <w:qFormat/>
    <w:uiPriority w:val="0"/>
    <w:pPr>
      <w:keepNext/>
      <w:keepLines/>
      <w:spacing w:before="240" w:after="64" w:line="320" w:lineRule="auto"/>
      <w:outlineLvl w:val="6"/>
    </w:pPr>
    <w:rPr>
      <w:b/>
      <w:bCs/>
    </w:rPr>
  </w:style>
  <w:style w:type="paragraph" w:styleId="9">
    <w:name w:val="heading 8"/>
    <w:basedOn w:val="1"/>
    <w:next w:val="1"/>
    <w:semiHidden/>
    <w:unhideWhenUsed/>
    <w:qFormat/>
    <w:uiPriority w:val="0"/>
    <w:pPr>
      <w:keepNext/>
      <w:keepLines/>
      <w:spacing w:before="240" w:after="64" w:line="320" w:lineRule="auto"/>
      <w:outlineLvl w:val="7"/>
    </w:pPr>
  </w:style>
  <w:style w:type="paragraph" w:styleId="10">
    <w:name w:val="heading 9"/>
    <w:basedOn w:val="1"/>
    <w:next w:val="1"/>
    <w:semiHidden/>
    <w:unhideWhenUsed/>
    <w:qFormat/>
    <w:uiPriority w:val="0"/>
    <w:pPr>
      <w:keepNext/>
      <w:keepLines/>
      <w:spacing w:before="240" w:after="64" w:line="320" w:lineRule="auto"/>
      <w:outlineLvl w:val="8"/>
    </w:pPr>
    <w:rPr>
      <w:szCs w:val="21"/>
    </w:rPr>
  </w:style>
  <w:style w:type="character" w:default="1" w:styleId="11">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alloon Text"/>
    <w:basedOn w:val="1"/>
    <w:qFormat/>
    <w:uiPriority w:val="0"/>
    <w:rPr>
      <w:sz w:val="16"/>
      <w:szCs w:val="16"/>
    </w:rPr>
  </w:style>
  <w:style w:type="paragraph" w:styleId="14">
    <w:name w:val="Block Text"/>
    <w:basedOn w:val="1"/>
    <w:qFormat/>
    <w:uiPriority w:val="0"/>
    <w:pPr>
      <w:spacing w:after="120"/>
      <w:ind w:left="1440" w:leftChars="700" w:right="1440" w:rightChars="700"/>
    </w:pPr>
  </w:style>
  <w:style w:type="paragraph" w:styleId="15">
    <w:name w:val="Body Text"/>
    <w:basedOn w:val="1"/>
    <w:qFormat/>
    <w:uiPriority w:val="0"/>
    <w:pPr>
      <w:spacing w:after="120"/>
    </w:pPr>
  </w:style>
  <w:style w:type="paragraph" w:styleId="16">
    <w:name w:val="Body Text 2"/>
    <w:basedOn w:val="1"/>
    <w:qFormat/>
    <w:uiPriority w:val="0"/>
    <w:pPr>
      <w:spacing w:after="120" w:line="480" w:lineRule="auto"/>
    </w:pPr>
  </w:style>
  <w:style w:type="paragraph" w:styleId="17">
    <w:name w:val="Body Text 3"/>
    <w:basedOn w:val="1"/>
    <w:qFormat/>
    <w:uiPriority w:val="0"/>
    <w:pPr>
      <w:spacing w:after="120"/>
    </w:pPr>
    <w:rPr>
      <w:sz w:val="16"/>
      <w:szCs w:val="16"/>
    </w:rPr>
  </w:style>
  <w:style w:type="paragraph" w:styleId="18">
    <w:name w:val="Body Text First Indent"/>
    <w:basedOn w:val="15"/>
    <w:qFormat/>
    <w:uiPriority w:val="0"/>
    <w:pPr>
      <w:ind w:firstLine="420" w:firstLineChars="100"/>
    </w:pPr>
  </w:style>
  <w:style w:type="paragraph" w:styleId="19">
    <w:name w:val="Body Text Indent"/>
    <w:basedOn w:val="1"/>
    <w:qFormat/>
    <w:uiPriority w:val="0"/>
    <w:pPr>
      <w:spacing w:after="120"/>
      <w:ind w:left="420" w:leftChars="200"/>
    </w:pPr>
  </w:style>
  <w:style w:type="paragraph" w:styleId="20">
    <w:name w:val="Body Text First Indent 2"/>
    <w:basedOn w:val="19"/>
    <w:qFormat/>
    <w:uiPriority w:val="0"/>
    <w:pPr>
      <w:ind w:firstLine="420" w:firstLineChars="200"/>
    </w:pPr>
  </w:style>
  <w:style w:type="paragraph" w:styleId="21">
    <w:name w:val="Body Text Indent 2"/>
    <w:basedOn w:val="1"/>
    <w:qFormat/>
    <w:uiPriority w:val="0"/>
    <w:pPr>
      <w:spacing w:after="120" w:line="480" w:lineRule="auto"/>
      <w:ind w:left="420" w:leftChars="200"/>
    </w:pPr>
  </w:style>
  <w:style w:type="paragraph" w:styleId="22">
    <w:name w:val="Body Text Indent 3"/>
    <w:basedOn w:val="1"/>
    <w:uiPriority w:val="0"/>
    <w:pPr>
      <w:spacing w:after="120"/>
      <w:ind w:left="420" w:leftChars="200"/>
    </w:pPr>
    <w:rPr>
      <w:sz w:val="16"/>
      <w:szCs w:val="16"/>
    </w:rPr>
  </w:style>
  <w:style w:type="paragraph" w:styleId="23">
    <w:name w:val="caption"/>
    <w:basedOn w:val="1"/>
    <w:next w:val="1"/>
    <w:semiHidden/>
    <w:unhideWhenUsed/>
    <w:qFormat/>
    <w:uiPriority w:val="0"/>
    <w:rPr>
      <w:rFonts w:ascii="Arial" w:hAnsi="Arial" w:eastAsia="SimHei" w:cs="Arial"/>
      <w:sz w:val="20"/>
    </w:rPr>
  </w:style>
  <w:style w:type="paragraph" w:styleId="24">
    <w:name w:val="Closing"/>
    <w:basedOn w:val="1"/>
    <w:qFormat/>
    <w:uiPriority w:val="0"/>
    <w:pPr>
      <w:ind w:left="100" w:leftChars="2100"/>
    </w:pPr>
  </w:style>
  <w:style w:type="character" w:styleId="25">
    <w:name w:val="annotation reference"/>
    <w:basedOn w:val="11"/>
    <w:qFormat/>
    <w:uiPriority w:val="0"/>
    <w:rPr>
      <w:sz w:val="21"/>
      <w:szCs w:val="21"/>
    </w:rPr>
  </w:style>
  <w:style w:type="paragraph" w:styleId="26">
    <w:name w:val="annotation text"/>
    <w:basedOn w:val="1"/>
    <w:qFormat/>
    <w:uiPriority w:val="0"/>
  </w:style>
  <w:style w:type="paragraph" w:styleId="27">
    <w:name w:val="annotation subject"/>
    <w:basedOn w:val="26"/>
    <w:next w:val="26"/>
    <w:qFormat/>
    <w:uiPriority w:val="0"/>
    <w:rPr>
      <w:b/>
      <w:bCs/>
    </w:rPr>
  </w:style>
  <w:style w:type="paragraph" w:styleId="28">
    <w:name w:val="Date"/>
    <w:basedOn w:val="1"/>
    <w:next w:val="1"/>
    <w:qFormat/>
    <w:uiPriority w:val="0"/>
    <w:pPr>
      <w:ind w:left="100" w:leftChars="2500"/>
    </w:pPr>
  </w:style>
  <w:style w:type="paragraph" w:styleId="29">
    <w:name w:val="Document Map"/>
    <w:basedOn w:val="1"/>
    <w:qFormat/>
    <w:uiPriority w:val="0"/>
    <w:pPr>
      <w:shd w:val="clear" w:color="auto" w:fill="000080"/>
    </w:pPr>
  </w:style>
  <w:style w:type="paragraph" w:styleId="30">
    <w:name w:val="E-mail Signature"/>
    <w:basedOn w:val="1"/>
    <w:qFormat/>
    <w:uiPriority w:val="0"/>
  </w:style>
  <w:style w:type="character" w:styleId="31">
    <w:name w:val="Emphasis"/>
    <w:basedOn w:val="11"/>
    <w:qFormat/>
    <w:uiPriority w:val="20"/>
    <w:rPr>
      <w:i/>
      <w:iCs/>
    </w:rPr>
  </w:style>
  <w:style w:type="character" w:styleId="32">
    <w:name w:val="endnote reference"/>
    <w:basedOn w:val="11"/>
    <w:qFormat/>
    <w:uiPriority w:val="0"/>
    <w:rPr>
      <w:vertAlign w:val="superscript"/>
    </w:rPr>
  </w:style>
  <w:style w:type="paragraph" w:styleId="33">
    <w:name w:val="endnote text"/>
    <w:basedOn w:val="1"/>
    <w:qFormat/>
    <w:uiPriority w:val="0"/>
    <w:pPr>
      <w:snapToGrid w:val="0"/>
    </w:pPr>
  </w:style>
  <w:style w:type="paragraph" w:styleId="34">
    <w:name w:val="envelope address"/>
    <w:basedOn w:val="1"/>
    <w:qFormat/>
    <w:uiPriority w:val="0"/>
    <w:pPr>
      <w:framePr w:w="7920" w:h="1980" w:hRule="exact" w:hSpace="180" w:wrap="auto" w:vAnchor="margin" w:hAnchor="page" w:xAlign="center" w:yAlign="bottom"/>
      <w:snapToGrid w:val="0"/>
      <w:ind w:left="100" w:leftChars="1400"/>
    </w:pPr>
    <w:rPr>
      <w:rFonts w:ascii="Arial" w:hAnsi="Arial" w:cs="Arial"/>
    </w:rPr>
  </w:style>
  <w:style w:type="paragraph" w:styleId="35">
    <w:name w:val="envelope return"/>
    <w:basedOn w:val="1"/>
    <w:qFormat/>
    <w:uiPriority w:val="0"/>
    <w:pPr>
      <w:snapToGrid w:val="0"/>
    </w:pPr>
    <w:rPr>
      <w:rFonts w:ascii="Arial" w:hAnsi="Arial" w:cs="Arial"/>
    </w:rPr>
  </w:style>
  <w:style w:type="character" w:styleId="36">
    <w:name w:val="FollowedHyperlink"/>
    <w:basedOn w:val="11"/>
    <w:qFormat/>
    <w:uiPriority w:val="99"/>
    <w:rPr>
      <w:color w:val="800080"/>
      <w:u w:val="single"/>
    </w:rPr>
  </w:style>
  <w:style w:type="paragraph" w:styleId="37">
    <w:name w:val="footer"/>
    <w:basedOn w:val="1"/>
    <w:link w:val="258"/>
    <w:qFormat/>
    <w:uiPriority w:val="99"/>
    <w:pPr>
      <w:tabs>
        <w:tab w:val="center" w:pos="4153"/>
        <w:tab w:val="right" w:pos="8306"/>
      </w:tabs>
      <w:snapToGrid w:val="0"/>
    </w:pPr>
    <w:rPr>
      <w:sz w:val="18"/>
      <w:szCs w:val="18"/>
    </w:rPr>
  </w:style>
  <w:style w:type="character" w:styleId="38">
    <w:name w:val="footnote reference"/>
    <w:basedOn w:val="11"/>
    <w:qFormat/>
    <w:uiPriority w:val="0"/>
    <w:rPr>
      <w:vertAlign w:val="superscript"/>
    </w:rPr>
  </w:style>
  <w:style w:type="paragraph" w:styleId="39">
    <w:name w:val="footnote text"/>
    <w:basedOn w:val="1"/>
    <w:qFormat/>
    <w:uiPriority w:val="0"/>
    <w:pPr>
      <w:snapToGrid w:val="0"/>
    </w:pPr>
    <w:rPr>
      <w:sz w:val="18"/>
      <w:szCs w:val="18"/>
    </w:rPr>
  </w:style>
  <w:style w:type="paragraph" w:styleId="40">
    <w:name w:val="header"/>
    <w:basedOn w:val="1"/>
    <w:link w:val="257"/>
    <w:qFormat/>
    <w:uiPriority w:val="99"/>
    <w:pPr>
      <w:tabs>
        <w:tab w:val="center" w:pos="4153"/>
        <w:tab w:val="right" w:pos="8306"/>
      </w:tabs>
      <w:snapToGrid w:val="0"/>
    </w:pPr>
    <w:rPr>
      <w:sz w:val="18"/>
      <w:szCs w:val="18"/>
    </w:rPr>
  </w:style>
  <w:style w:type="character" w:styleId="41">
    <w:name w:val="HTML Acronym"/>
    <w:basedOn w:val="11"/>
    <w:qFormat/>
    <w:uiPriority w:val="0"/>
  </w:style>
  <w:style w:type="paragraph" w:styleId="42">
    <w:name w:val="HTML Address"/>
    <w:basedOn w:val="1"/>
    <w:qFormat/>
    <w:uiPriority w:val="0"/>
    <w:rPr>
      <w:i/>
      <w:iCs/>
    </w:rPr>
  </w:style>
  <w:style w:type="character" w:styleId="43">
    <w:name w:val="HTML Cite"/>
    <w:basedOn w:val="11"/>
    <w:qFormat/>
    <w:uiPriority w:val="0"/>
    <w:rPr>
      <w:i/>
      <w:iCs/>
    </w:rPr>
  </w:style>
  <w:style w:type="character" w:styleId="44">
    <w:name w:val="HTML Code"/>
    <w:basedOn w:val="11"/>
    <w:qFormat/>
    <w:uiPriority w:val="0"/>
    <w:rPr>
      <w:rFonts w:ascii="Courier New" w:hAnsi="Courier New" w:cs="Courier New"/>
      <w:sz w:val="20"/>
      <w:szCs w:val="20"/>
    </w:rPr>
  </w:style>
  <w:style w:type="character" w:styleId="45">
    <w:name w:val="HTML Definition"/>
    <w:basedOn w:val="11"/>
    <w:qFormat/>
    <w:uiPriority w:val="0"/>
    <w:rPr>
      <w:i/>
      <w:iCs/>
    </w:rPr>
  </w:style>
  <w:style w:type="character" w:styleId="46">
    <w:name w:val="HTML Keyboard"/>
    <w:basedOn w:val="11"/>
    <w:qFormat/>
    <w:uiPriority w:val="0"/>
    <w:rPr>
      <w:rFonts w:ascii="Courier New" w:hAnsi="Courier New" w:cs="Courier New"/>
      <w:sz w:val="20"/>
      <w:szCs w:val="20"/>
    </w:rPr>
  </w:style>
  <w:style w:type="paragraph" w:styleId="47">
    <w:name w:val="HTML Preformatted"/>
    <w:basedOn w:val="1"/>
    <w:qFormat/>
    <w:uiPriority w:val="0"/>
    <w:rPr>
      <w:rFonts w:ascii="Courier New" w:hAnsi="Courier New" w:cs="Courier New"/>
      <w:sz w:val="20"/>
    </w:rPr>
  </w:style>
  <w:style w:type="character" w:styleId="48">
    <w:name w:val="HTML Sample"/>
    <w:basedOn w:val="11"/>
    <w:qFormat/>
    <w:uiPriority w:val="0"/>
    <w:rPr>
      <w:rFonts w:ascii="Courier New" w:hAnsi="Courier New" w:cs="Courier New"/>
    </w:rPr>
  </w:style>
  <w:style w:type="character" w:styleId="49">
    <w:name w:val="HTML Typewriter"/>
    <w:basedOn w:val="11"/>
    <w:qFormat/>
    <w:uiPriority w:val="0"/>
    <w:rPr>
      <w:rFonts w:ascii="Courier New" w:hAnsi="Courier New" w:cs="Courier New"/>
      <w:sz w:val="20"/>
      <w:szCs w:val="20"/>
    </w:rPr>
  </w:style>
  <w:style w:type="character" w:styleId="50">
    <w:name w:val="HTML Variable"/>
    <w:basedOn w:val="11"/>
    <w:qFormat/>
    <w:uiPriority w:val="0"/>
    <w:rPr>
      <w:i/>
      <w:iCs/>
    </w:rPr>
  </w:style>
  <w:style w:type="character" w:styleId="51">
    <w:name w:val="Hyperlink"/>
    <w:basedOn w:val="11"/>
    <w:qFormat/>
    <w:uiPriority w:val="99"/>
    <w:rPr>
      <w:color w:val="0000FF"/>
      <w:u w:val="single"/>
    </w:rPr>
  </w:style>
  <w:style w:type="paragraph" w:styleId="52">
    <w:name w:val="index 1"/>
    <w:basedOn w:val="1"/>
    <w:next w:val="1"/>
    <w:qFormat/>
    <w:uiPriority w:val="0"/>
  </w:style>
  <w:style w:type="paragraph" w:styleId="53">
    <w:name w:val="index 2"/>
    <w:basedOn w:val="1"/>
    <w:next w:val="1"/>
    <w:qFormat/>
    <w:uiPriority w:val="0"/>
    <w:pPr>
      <w:ind w:left="200" w:leftChars="200"/>
    </w:pPr>
  </w:style>
  <w:style w:type="paragraph" w:styleId="54">
    <w:name w:val="index 3"/>
    <w:basedOn w:val="1"/>
    <w:next w:val="1"/>
    <w:qFormat/>
    <w:uiPriority w:val="0"/>
    <w:pPr>
      <w:ind w:left="400" w:leftChars="400"/>
    </w:pPr>
  </w:style>
  <w:style w:type="paragraph" w:styleId="55">
    <w:name w:val="index 4"/>
    <w:basedOn w:val="1"/>
    <w:next w:val="1"/>
    <w:qFormat/>
    <w:uiPriority w:val="0"/>
    <w:pPr>
      <w:ind w:left="600" w:leftChars="600"/>
    </w:pPr>
  </w:style>
  <w:style w:type="paragraph" w:styleId="56">
    <w:name w:val="index 5"/>
    <w:basedOn w:val="1"/>
    <w:next w:val="1"/>
    <w:qFormat/>
    <w:uiPriority w:val="0"/>
    <w:pPr>
      <w:ind w:left="800" w:leftChars="800"/>
    </w:pPr>
  </w:style>
  <w:style w:type="paragraph" w:styleId="57">
    <w:name w:val="index 6"/>
    <w:basedOn w:val="1"/>
    <w:next w:val="1"/>
    <w:qFormat/>
    <w:uiPriority w:val="0"/>
    <w:pPr>
      <w:ind w:left="1000" w:leftChars="1000"/>
    </w:pPr>
  </w:style>
  <w:style w:type="paragraph" w:styleId="58">
    <w:name w:val="index 7"/>
    <w:basedOn w:val="1"/>
    <w:next w:val="1"/>
    <w:qFormat/>
    <w:uiPriority w:val="0"/>
    <w:pPr>
      <w:ind w:left="1200" w:leftChars="1200"/>
    </w:pPr>
  </w:style>
  <w:style w:type="paragraph" w:styleId="59">
    <w:name w:val="index 8"/>
    <w:basedOn w:val="1"/>
    <w:next w:val="1"/>
    <w:qFormat/>
    <w:uiPriority w:val="0"/>
    <w:pPr>
      <w:ind w:left="1400" w:leftChars="1400"/>
    </w:pPr>
  </w:style>
  <w:style w:type="paragraph" w:styleId="60">
    <w:name w:val="index 9"/>
    <w:basedOn w:val="1"/>
    <w:next w:val="1"/>
    <w:qFormat/>
    <w:uiPriority w:val="0"/>
    <w:pPr>
      <w:ind w:left="1600" w:leftChars="1600"/>
    </w:pPr>
  </w:style>
  <w:style w:type="paragraph" w:styleId="61">
    <w:name w:val="index heading"/>
    <w:basedOn w:val="1"/>
    <w:next w:val="52"/>
    <w:qFormat/>
    <w:uiPriority w:val="0"/>
    <w:rPr>
      <w:rFonts w:ascii="Arial" w:hAnsi="Arial" w:cs="Arial"/>
      <w:b/>
      <w:bCs/>
    </w:rPr>
  </w:style>
  <w:style w:type="character" w:styleId="62">
    <w:name w:val="line number"/>
    <w:basedOn w:val="11"/>
    <w:qFormat/>
    <w:uiPriority w:val="0"/>
  </w:style>
  <w:style w:type="paragraph" w:styleId="63">
    <w:name w:val="List"/>
    <w:basedOn w:val="1"/>
    <w:qFormat/>
    <w:uiPriority w:val="0"/>
    <w:pPr>
      <w:ind w:left="200" w:hanging="200" w:hangingChars="200"/>
    </w:pPr>
  </w:style>
  <w:style w:type="paragraph" w:styleId="64">
    <w:name w:val="List 2"/>
    <w:basedOn w:val="1"/>
    <w:qFormat/>
    <w:uiPriority w:val="0"/>
    <w:pPr>
      <w:ind w:left="100" w:leftChars="200" w:hanging="200" w:hangingChars="200"/>
    </w:pPr>
  </w:style>
  <w:style w:type="paragraph" w:styleId="65">
    <w:name w:val="List 3"/>
    <w:basedOn w:val="1"/>
    <w:qFormat/>
    <w:uiPriority w:val="0"/>
    <w:pPr>
      <w:ind w:left="100" w:leftChars="400" w:hanging="200" w:hangingChars="200"/>
    </w:pPr>
  </w:style>
  <w:style w:type="paragraph" w:styleId="66">
    <w:name w:val="List 4"/>
    <w:basedOn w:val="1"/>
    <w:qFormat/>
    <w:uiPriority w:val="0"/>
    <w:pPr>
      <w:ind w:left="100" w:leftChars="600" w:hanging="200" w:hangingChars="200"/>
    </w:pPr>
  </w:style>
  <w:style w:type="paragraph" w:styleId="67">
    <w:name w:val="List 5"/>
    <w:basedOn w:val="1"/>
    <w:qFormat/>
    <w:uiPriority w:val="0"/>
    <w:pPr>
      <w:ind w:left="100" w:leftChars="800" w:hanging="200" w:hangingChars="200"/>
    </w:pPr>
  </w:style>
  <w:style w:type="paragraph" w:styleId="68">
    <w:name w:val="List Bullet"/>
    <w:basedOn w:val="1"/>
    <w:qFormat/>
    <w:uiPriority w:val="0"/>
    <w:pPr>
      <w:numPr>
        <w:ilvl w:val="0"/>
        <w:numId w:val="1"/>
      </w:numPr>
    </w:pPr>
  </w:style>
  <w:style w:type="paragraph" w:styleId="69">
    <w:name w:val="List Bullet 2"/>
    <w:basedOn w:val="1"/>
    <w:qFormat/>
    <w:uiPriority w:val="0"/>
    <w:pPr>
      <w:numPr>
        <w:ilvl w:val="0"/>
        <w:numId w:val="2"/>
      </w:numPr>
    </w:pPr>
  </w:style>
  <w:style w:type="paragraph" w:styleId="70">
    <w:name w:val="List Bullet 3"/>
    <w:basedOn w:val="1"/>
    <w:qFormat/>
    <w:uiPriority w:val="0"/>
    <w:pPr>
      <w:numPr>
        <w:ilvl w:val="0"/>
        <w:numId w:val="3"/>
      </w:numPr>
    </w:pPr>
  </w:style>
  <w:style w:type="paragraph" w:styleId="71">
    <w:name w:val="List Bullet 4"/>
    <w:basedOn w:val="1"/>
    <w:qFormat/>
    <w:uiPriority w:val="0"/>
    <w:pPr>
      <w:numPr>
        <w:ilvl w:val="0"/>
        <w:numId w:val="4"/>
      </w:numPr>
    </w:pPr>
  </w:style>
  <w:style w:type="paragraph" w:styleId="72">
    <w:name w:val="List Bullet 5"/>
    <w:basedOn w:val="1"/>
    <w:qFormat/>
    <w:uiPriority w:val="0"/>
    <w:pPr>
      <w:numPr>
        <w:ilvl w:val="0"/>
        <w:numId w:val="5"/>
      </w:numPr>
    </w:pPr>
  </w:style>
  <w:style w:type="paragraph" w:styleId="73">
    <w:name w:val="List Continue"/>
    <w:basedOn w:val="1"/>
    <w:qFormat/>
    <w:uiPriority w:val="0"/>
    <w:pPr>
      <w:spacing w:after="120"/>
      <w:ind w:left="420" w:leftChars="200"/>
    </w:pPr>
  </w:style>
  <w:style w:type="paragraph" w:styleId="74">
    <w:name w:val="List Continue 2"/>
    <w:basedOn w:val="1"/>
    <w:qFormat/>
    <w:uiPriority w:val="0"/>
    <w:pPr>
      <w:spacing w:after="120"/>
      <w:ind w:left="840" w:leftChars="400"/>
    </w:pPr>
  </w:style>
  <w:style w:type="paragraph" w:styleId="75">
    <w:name w:val="List Continue 3"/>
    <w:basedOn w:val="1"/>
    <w:qFormat/>
    <w:uiPriority w:val="0"/>
    <w:pPr>
      <w:spacing w:after="120"/>
      <w:ind w:left="1260" w:leftChars="600"/>
    </w:pPr>
  </w:style>
  <w:style w:type="paragraph" w:styleId="76">
    <w:name w:val="List Continue 4"/>
    <w:basedOn w:val="1"/>
    <w:qFormat/>
    <w:uiPriority w:val="0"/>
    <w:pPr>
      <w:spacing w:after="120"/>
      <w:ind w:left="1680" w:leftChars="800"/>
    </w:pPr>
  </w:style>
  <w:style w:type="paragraph" w:styleId="77">
    <w:name w:val="List Continue 5"/>
    <w:basedOn w:val="1"/>
    <w:qFormat/>
    <w:uiPriority w:val="0"/>
    <w:pPr>
      <w:spacing w:after="120"/>
      <w:ind w:left="2100" w:leftChars="1000"/>
    </w:pPr>
  </w:style>
  <w:style w:type="paragraph" w:styleId="78">
    <w:name w:val="List Number"/>
    <w:basedOn w:val="1"/>
    <w:qFormat/>
    <w:uiPriority w:val="0"/>
    <w:pPr>
      <w:numPr>
        <w:ilvl w:val="0"/>
        <w:numId w:val="6"/>
      </w:numPr>
    </w:pPr>
  </w:style>
  <w:style w:type="paragraph" w:styleId="79">
    <w:name w:val="List Number 2"/>
    <w:basedOn w:val="1"/>
    <w:qFormat/>
    <w:uiPriority w:val="0"/>
    <w:pPr>
      <w:numPr>
        <w:ilvl w:val="0"/>
        <w:numId w:val="7"/>
      </w:numPr>
    </w:pPr>
  </w:style>
  <w:style w:type="paragraph" w:styleId="80">
    <w:name w:val="List Number 3"/>
    <w:basedOn w:val="1"/>
    <w:qFormat/>
    <w:uiPriority w:val="0"/>
    <w:pPr>
      <w:numPr>
        <w:ilvl w:val="0"/>
        <w:numId w:val="8"/>
      </w:numPr>
    </w:pPr>
  </w:style>
  <w:style w:type="paragraph" w:styleId="81">
    <w:name w:val="List Number 4"/>
    <w:basedOn w:val="1"/>
    <w:qFormat/>
    <w:uiPriority w:val="0"/>
    <w:pPr>
      <w:numPr>
        <w:ilvl w:val="0"/>
        <w:numId w:val="9"/>
      </w:numPr>
    </w:pPr>
  </w:style>
  <w:style w:type="paragraph" w:styleId="82">
    <w:name w:val="List Number 5"/>
    <w:basedOn w:val="1"/>
    <w:qFormat/>
    <w:uiPriority w:val="0"/>
    <w:pPr>
      <w:numPr>
        <w:ilvl w:val="0"/>
        <w:numId w:val="10"/>
      </w:numPr>
    </w:pPr>
  </w:style>
  <w:style w:type="paragraph" w:styleId="83">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styleId="84">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rPr>
  </w:style>
  <w:style w:type="paragraph" w:styleId="85">
    <w:name w:val="Normal (Web)"/>
    <w:basedOn w:val="1"/>
    <w:qFormat/>
    <w:uiPriority w:val="99"/>
  </w:style>
  <w:style w:type="paragraph" w:styleId="86">
    <w:name w:val="Normal Indent"/>
    <w:basedOn w:val="1"/>
    <w:qFormat/>
    <w:uiPriority w:val="0"/>
    <w:pPr>
      <w:ind w:firstLine="420" w:firstLineChars="200"/>
    </w:pPr>
  </w:style>
  <w:style w:type="paragraph" w:styleId="87">
    <w:name w:val="Note Heading"/>
    <w:basedOn w:val="1"/>
    <w:next w:val="1"/>
    <w:qFormat/>
    <w:uiPriority w:val="0"/>
    <w:pPr>
      <w:jc w:val="center"/>
    </w:pPr>
  </w:style>
  <w:style w:type="character" w:styleId="88">
    <w:name w:val="page number"/>
    <w:basedOn w:val="11"/>
    <w:qFormat/>
    <w:uiPriority w:val="99"/>
  </w:style>
  <w:style w:type="paragraph" w:styleId="89">
    <w:name w:val="Plain Text"/>
    <w:basedOn w:val="1"/>
    <w:qFormat/>
    <w:uiPriority w:val="0"/>
    <w:rPr>
      <w:rFonts w:ascii="SimSun" w:hAnsi="Courier New" w:cs="Courier New"/>
      <w:szCs w:val="21"/>
    </w:rPr>
  </w:style>
  <w:style w:type="paragraph" w:styleId="90">
    <w:name w:val="Salutation"/>
    <w:basedOn w:val="1"/>
    <w:next w:val="1"/>
    <w:qFormat/>
    <w:uiPriority w:val="0"/>
  </w:style>
  <w:style w:type="paragraph" w:styleId="91">
    <w:name w:val="Signature"/>
    <w:basedOn w:val="1"/>
    <w:qFormat/>
    <w:uiPriority w:val="0"/>
    <w:pPr>
      <w:ind w:left="100" w:leftChars="2100"/>
    </w:pPr>
  </w:style>
  <w:style w:type="character" w:styleId="92">
    <w:name w:val="Strong"/>
    <w:basedOn w:val="11"/>
    <w:qFormat/>
    <w:uiPriority w:val="22"/>
    <w:rPr>
      <w:b/>
      <w:bCs/>
    </w:rPr>
  </w:style>
  <w:style w:type="paragraph" w:styleId="93">
    <w:name w:val="Subtitle"/>
    <w:basedOn w:val="1"/>
    <w:qFormat/>
    <w:uiPriority w:val="0"/>
    <w:pPr>
      <w:spacing w:before="240" w:after="60" w:line="312" w:lineRule="auto"/>
      <w:jc w:val="center"/>
      <w:outlineLvl w:val="1"/>
    </w:pPr>
    <w:rPr>
      <w:rFonts w:ascii="Arial" w:hAnsi="Arial" w:cs="Arial"/>
      <w:b/>
      <w:bCs/>
      <w:kern w:val="28"/>
      <w:sz w:val="32"/>
      <w:szCs w:val="32"/>
    </w:rPr>
  </w:style>
  <w:style w:type="table" w:styleId="94">
    <w:name w:val="Table 3D effects 1"/>
    <w:basedOn w:val="12"/>
    <w:qFormat/>
    <w:uiPriority w:val="0"/>
    <w:pPr>
      <w:widowControl w:val="0"/>
      <w:jc w:val="both"/>
    </w:pPr>
    <w:tblPr>
      <w:tblCellMar>
        <w:top w:w="0" w:type="dxa"/>
        <w:left w:w="108" w:type="dxa"/>
        <w:bottom w:w="0" w:type="dxa"/>
        <w:right w:w="108" w:type="dxa"/>
      </w:tblCellMar>
    </w:tblPr>
    <w:tcPr>
      <w:shd w:val="solid" w:color="C0C0C0" w:fill="FFFFFF"/>
    </w:tcPr>
    <w:tblStylePr w:type="firstRow">
      <w:rPr>
        <w:b/>
        <w:bCs/>
        <w:color w:val="800080"/>
      </w:rPr>
      <w:tblPr/>
      <w:tcPr>
        <w:tcBorders>
          <w:left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bottom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95">
    <w:name w:val="Table 3D effects 2"/>
    <w:basedOn w:val="12"/>
    <w:qFormat/>
    <w:uiPriority w:val="0"/>
    <w:pPr>
      <w:widowControl w:val="0"/>
      <w:jc w:val="both"/>
    </w:pPr>
    <w:tblPr>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6">
    <w:name w:val="Table 3D effects 3"/>
    <w:basedOn w:val="12"/>
    <w:qFormat/>
    <w:uiPriority w:val="0"/>
    <w:pPr>
      <w:widowControl w:val="0"/>
      <w:jc w:val="both"/>
    </w:pPr>
    <w:tblPr>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7">
    <w:name w:val="Table Classic 1"/>
    <w:basedOn w:val="12"/>
    <w:qFormat/>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12"/>
    <w:qFormat/>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left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12"/>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12"/>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color="000000" w:sz="6" w:space="0"/>
          <w:tl2br w:val="nil"/>
          <w:tr2bl w:val="nil"/>
        </w:tcBorders>
        <w:shd w:val="pct50" w:color="000080" w:fill="FFFFFF"/>
      </w:tcPr>
    </w:tblStylePr>
    <w:tblStylePr w:type="lastRow">
      <w:rPr>
        <w:color w:val="000080"/>
      </w:rPr>
      <w:tblPr/>
      <w:tcPr>
        <w:tcBorders>
          <w:left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Colorful 1"/>
    <w:basedOn w:val="12"/>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02">
    <w:name w:val="Table Colorful 2"/>
    <w:basedOn w:val="12"/>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03">
    <w:name w:val="Table Colorful 3"/>
    <w:basedOn w:val="12"/>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left w:val="single" w:color="000000" w:sz="6" w:space="0"/>
          <w:tl2br w:val="nil"/>
          <w:tr2bl w:val="nil"/>
        </w:tcBorders>
        <w:shd w:val="solid" w:color="008080" w:fill="FFFFFF"/>
      </w:tcPr>
    </w:tblStylePr>
    <w:tblStylePr w:type="firstCol">
      <w:tblPr/>
      <w:tcPr>
        <w:tcBorders>
          <w:bottom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04">
    <w:name w:val="Table Columns 1"/>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left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Columns 2"/>
    <w:basedOn w:val="12"/>
    <w:qFormat/>
    <w:uiPriority w:val="0"/>
    <w:pPr>
      <w:widowControl w:val="0"/>
      <w:jc w:val="both"/>
    </w:pPr>
    <w:rPr>
      <w:b/>
      <w:bCs/>
    </w:rPr>
    <w:tblPr>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Columns 3"/>
    <w:basedOn w:val="12"/>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7">
    <w:name w:val="Table Columns 4"/>
    <w:basedOn w:val="12"/>
    <w:qFormat/>
    <w:uiPriority w:val="0"/>
    <w:pPr>
      <w:widowControl w:val="0"/>
      <w:jc w:val="both"/>
    </w:pPr>
    <w:tblPr>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8">
    <w:name w:val="Table Columns 5"/>
    <w:basedOn w:val="12"/>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left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9">
    <w:name w:val="Table Contemporary"/>
    <w:basedOn w:val="12"/>
    <w:qFormat/>
    <w:uiPriority w:val="0"/>
    <w:pPr>
      <w:widowControl w:val="0"/>
      <w:jc w:val="both"/>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0">
    <w:name w:val="Table Elegant"/>
    <w:basedOn w:val="1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111">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12">
    <w:name w:val="Table Grid 1"/>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Grid 2"/>
    <w:basedOn w:val="12"/>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4">
    <w:name w:val="Table Grid 3"/>
    <w:basedOn w:val="12"/>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left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5">
    <w:name w:val="Table Grid 4"/>
    <w:basedOn w:val="12"/>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left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6">
    <w:name w:val="Table Grid 5"/>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left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7">
    <w:name w:val="Table Grid 6"/>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8">
    <w:name w:val="Table Grid 7"/>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left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8"/>
    <w:basedOn w:val="1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0">
    <w:name w:val="Table List 1"/>
    <w:basedOn w:val="12"/>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left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1">
    <w:name w:val="Table List 2"/>
    <w:basedOn w:val="12"/>
    <w:qFormat/>
    <w:uiPriority w:val="0"/>
    <w:pPr>
      <w:widowControl w:val="0"/>
      <w:jc w:val="both"/>
    </w:p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left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2">
    <w:name w:val="Table List 3"/>
    <w:basedOn w:val="12"/>
    <w:qFormat/>
    <w:uiPriority w:val="0"/>
    <w:pPr>
      <w:widowControl w:val="0"/>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23">
    <w:name w:val="Table List 4"/>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left w:val="single" w:color="000000" w:sz="12" w:space="0"/>
          <w:tl2br w:val="nil"/>
          <w:tr2bl w:val="nil"/>
        </w:tcBorders>
        <w:shd w:val="solid" w:color="808080" w:fill="FFFFFF"/>
      </w:tcPr>
    </w:tblStylePr>
  </w:style>
  <w:style w:type="table" w:styleId="124">
    <w:name w:val="Table List 5"/>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left w:val="single" w:color="000000" w:sz="12" w:space="0"/>
          <w:tl2br w:val="nil"/>
          <w:tr2bl w:val="nil"/>
        </w:tcBorders>
      </w:tcPr>
    </w:tblStylePr>
    <w:tblStylePr w:type="firstCol">
      <w:rPr>
        <w:b/>
        <w:bCs/>
      </w:rPr>
      <w:tblPr/>
      <w:tcPr>
        <w:tcBorders>
          <w:tl2br w:val="nil"/>
          <w:tr2bl w:val="nil"/>
        </w:tcBorders>
      </w:tcPr>
    </w:tblStylePr>
  </w:style>
  <w:style w:type="table" w:styleId="125">
    <w:name w:val="Table List 6"/>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left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26">
    <w:name w:val="Table List 7"/>
    <w:basedOn w:val="12"/>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left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7">
    <w:name w:val="Table List 8"/>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left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paragraph" w:styleId="128">
    <w:name w:val="table of authorities"/>
    <w:basedOn w:val="1"/>
    <w:next w:val="1"/>
    <w:qFormat/>
    <w:uiPriority w:val="0"/>
    <w:pPr>
      <w:ind w:left="420" w:leftChars="200"/>
    </w:pPr>
  </w:style>
  <w:style w:type="paragraph" w:styleId="129">
    <w:name w:val="table of figures"/>
    <w:basedOn w:val="1"/>
    <w:next w:val="1"/>
    <w:qFormat/>
    <w:uiPriority w:val="0"/>
    <w:pPr>
      <w:ind w:left="200" w:leftChars="200" w:hanging="200" w:hangingChars="200"/>
    </w:pPr>
  </w:style>
  <w:style w:type="table" w:styleId="130">
    <w:name w:val="Table Professional"/>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131">
    <w:name w:val="Table Simple 1"/>
    <w:basedOn w:val="12"/>
    <w:qFormat/>
    <w:uiPriority w:val="0"/>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left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32">
    <w:name w:val="Table Simple 2"/>
    <w:basedOn w:val="12"/>
    <w:uiPriority w:val="0"/>
    <w:pPr>
      <w:widowControl w:val="0"/>
      <w:jc w:val="both"/>
    </w:pPr>
    <w:tblPr>
      <w:tblCellMar>
        <w:top w:w="0" w:type="dxa"/>
        <w:left w:w="108" w:type="dxa"/>
        <w:bottom w:w="0" w:type="dxa"/>
        <w:right w:w="108" w:type="dxa"/>
      </w:tblCellMar>
    </w:tblPr>
    <w:tblStylePr w:type="firstRow">
      <w:rPr>
        <w:b/>
        <w:bCs/>
      </w:rPr>
      <w:tblPr/>
      <w:tcPr>
        <w:tcBorders>
          <w:left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bottom w:val="single" w:color="000000" w:sz="6" w:space="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133">
    <w:name w:val="Table Simple 3"/>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34">
    <w:name w:val="Table Subtle 1"/>
    <w:basedOn w:val="12"/>
    <w:qFormat/>
    <w:uiPriority w:val="0"/>
    <w:pPr>
      <w:widowControl w:val="0"/>
      <w:jc w:val="both"/>
    </w:pPr>
    <w:tblPr>
      <w:tblCellMar>
        <w:top w:w="0" w:type="dxa"/>
        <w:left w:w="108" w:type="dxa"/>
        <w:bottom w:w="0" w:type="dxa"/>
        <w:right w:w="108" w:type="dxa"/>
      </w:tblCellMar>
    </w:tblPr>
    <w:tblStylePr w:type="firstRow">
      <w:tblPr/>
      <w:tcPr>
        <w:tcBorders>
          <w:top w:val="single" w:color="000000" w:sz="6" w:space="0"/>
          <w:left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bottom w:val="single" w:color="000000" w:sz="12" w:space="0"/>
          <w:tl2br w:val="nil"/>
          <w:tr2bl w:val="nil"/>
        </w:tcBorders>
      </w:tcPr>
    </w:tblStylePr>
    <w:tblStylePr w:type="band1Horz">
      <w:tblPr/>
      <w:tcPr>
        <w:tcBorders>
          <w:left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5">
    <w:name w:val="Table Subtle 2"/>
    <w:basedOn w:val="12"/>
    <w:qFormat/>
    <w:uiPriority w:val="0"/>
    <w:pPr>
      <w:widowControl w:val="0"/>
      <w:jc w:val="both"/>
    </w:p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bottom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6">
    <w:name w:val="Table Theme"/>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37">
    <w:name w:val="Table Web 1"/>
    <w:basedOn w:val="12"/>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8">
    <w:name w:val="Table Web 2"/>
    <w:basedOn w:val="12"/>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9">
    <w:name w:val="Table Web 3"/>
    <w:basedOn w:val="12"/>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140">
    <w:name w:val="Title"/>
    <w:basedOn w:val="1"/>
    <w:qFormat/>
    <w:uiPriority w:val="0"/>
    <w:pPr>
      <w:spacing w:before="240" w:after="60"/>
      <w:jc w:val="center"/>
      <w:outlineLvl w:val="0"/>
    </w:pPr>
    <w:rPr>
      <w:rFonts w:ascii="Arial" w:hAnsi="Arial" w:cs="Arial"/>
      <w:b/>
      <w:bCs/>
      <w:sz w:val="32"/>
      <w:szCs w:val="32"/>
    </w:rPr>
  </w:style>
  <w:style w:type="paragraph" w:styleId="141">
    <w:name w:val="toa heading"/>
    <w:basedOn w:val="1"/>
    <w:next w:val="1"/>
    <w:qFormat/>
    <w:uiPriority w:val="0"/>
    <w:pPr>
      <w:spacing w:before="120"/>
    </w:pPr>
    <w:rPr>
      <w:rFonts w:ascii="Arial" w:hAnsi="Arial" w:cs="Arial"/>
    </w:rPr>
  </w:style>
  <w:style w:type="paragraph" w:styleId="142">
    <w:name w:val="toc 1"/>
    <w:basedOn w:val="1"/>
    <w:next w:val="1"/>
    <w:qFormat/>
    <w:uiPriority w:val="0"/>
  </w:style>
  <w:style w:type="paragraph" w:styleId="143">
    <w:name w:val="toc 2"/>
    <w:basedOn w:val="1"/>
    <w:next w:val="1"/>
    <w:uiPriority w:val="0"/>
    <w:pPr>
      <w:ind w:left="420" w:leftChars="200"/>
    </w:pPr>
  </w:style>
  <w:style w:type="paragraph" w:styleId="144">
    <w:name w:val="toc 3"/>
    <w:basedOn w:val="1"/>
    <w:next w:val="1"/>
    <w:qFormat/>
    <w:uiPriority w:val="0"/>
    <w:pPr>
      <w:ind w:left="840" w:leftChars="400"/>
    </w:pPr>
  </w:style>
  <w:style w:type="paragraph" w:styleId="145">
    <w:name w:val="toc 4"/>
    <w:basedOn w:val="1"/>
    <w:next w:val="1"/>
    <w:qFormat/>
    <w:uiPriority w:val="0"/>
    <w:pPr>
      <w:ind w:left="1260" w:leftChars="600"/>
    </w:pPr>
  </w:style>
  <w:style w:type="paragraph" w:styleId="146">
    <w:name w:val="toc 5"/>
    <w:basedOn w:val="1"/>
    <w:next w:val="1"/>
    <w:uiPriority w:val="0"/>
    <w:pPr>
      <w:ind w:left="1680" w:leftChars="800"/>
    </w:pPr>
  </w:style>
  <w:style w:type="paragraph" w:styleId="147">
    <w:name w:val="toc 6"/>
    <w:basedOn w:val="1"/>
    <w:next w:val="1"/>
    <w:uiPriority w:val="0"/>
    <w:pPr>
      <w:ind w:left="2100" w:leftChars="1000"/>
    </w:pPr>
  </w:style>
  <w:style w:type="paragraph" w:styleId="148">
    <w:name w:val="toc 7"/>
    <w:basedOn w:val="1"/>
    <w:next w:val="1"/>
    <w:qFormat/>
    <w:uiPriority w:val="0"/>
    <w:pPr>
      <w:ind w:left="2520" w:leftChars="1200"/>
    </w:pPr>
  </w:style>
  <w:style w:type="paragraph" w:styleId="149">
    <w:name w:val="toc 8"/>
    <w:basedOn w:val="1"/>
    <w:next w:val="1"/>
    <w:qFormat/>
    <w:uiPriority w:val="0"/>
    <w:pPr>
      <w:ind w:left="2940" w:leftChars="1400"/>
    </w:pPr>
  </w:style>
  <w:style w:type="paragraph" w:styleId="150">
    <w:name w:val="toc 9"/>
    <w:basedOn w:val="1"/>
    <w:next w:val="1"/>
    <w:qFormat/>
    <w:uiPriority w:val="0"/>
    <w:pPr>
      <w:ind w:left="3360" w:leftChars="1600"/>
    </w:pPr>
  </w:style>
  <w:style w:type="table" w:styleId="151">
    <w:name w:val="Light Shading"/>
    <w:basedOn w:val="12"/>
    <w:qFormat/>
    <w:uiPriority w:val="60"/>
    <w:rPr>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la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152">
    <w:name w:val="Light Shading Accent 1"/>
    <w:basedOn w:val="12"/>
    <w:qFormat/>
    <w:uiPriority w:val="60"/>
    <w:rPr>
      <w:color w:val="365F91"/>
    </w:rPr>
    <w:tblPr>
      <w:tblBorders>
        <w:top w:val="single" w:color="4F81BD" w:sz="8" w:space="0"/>
        <w:bottom w:val="single" w:color="4F81BD"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la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153">
    <w:name w:val="Light Shading Accent 2"/>
    <w:basedOn w:val="12"/>
    <w:qFormat/>
    <w:uiPriority w:val="60"/>
    <w:rPr>
      <w:color w:val="943634"/>
    </w:rPr>
    <w:tblPr>
      <w:tblBorders>
        <w:top w:val="single" w:color="C0504D" w:sz="8" w:space="0"/>
        <w:bottom w:val="single" w:color="C0504D"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la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154">
    <w:name w:val="Light Shading Accent 3"/>
    <w:basedOn w:val="12"/>
    <w:qFormat/>
    <w:uiPriority w:val="60"/>
    <w:rPr>
      <w:color w:val="76923C"/>
    </w:rPr>
    <w:tblPr>
      <w:tblBorders>
        <w:top w:val="single" w:color="9BBB59" w:sz="8" w:space="0"/>
        <w:bottom w:val="single" w:color="9BBB59"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la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155">
    <w:name w:val="Light Shading Accent 4"/>
    <w:basedOn w:val="12"/>
    <w:qFormat/>
    <w:uiPriority w:val="60"/>
    <w:rPr>
      <w:color w:val="5F497A"/>
    </w:rPr>
    <w:tblPr>
      <w:tblBorders>
        <w:top w:val="single" w:color="8064A2" w:sz="8" w:space="0"/>
        <w:bottom w:val="single" w:color="8064A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la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156">
    <w:name w:val="Light Shading Accent 5"/>
    <w:basedOn w:val="12"/>
    <w:qFormat/>
    <w:uiPriority w:val="60"/>
    <w:rPr>
      <w:color w:val="31849B"/>
    </w:rPr>
    <w:tblPr>
      <w:tblBorders>
        <w:top w:val="single" w:color="4BACC6" w:sz="8" w:space="0"/>
        <w:bottom w:val="single" w:color="4BACC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la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157">
    <w:name w:val="Light Shading Accent 6"/>
    <w:basedOn w:val="12"/>
    <w:qFormat/>
    <w:uiPriority w:val="60"/>
    <w:rPr>
      <w:color w:val="E36C0A"/>
    </w:rPr>
    <w:tblPr>
      <w:tblBorders>
        <w:top w:val="single" w:color="F79646" w:sz="8" w:space="0"/>
        <w:bottom w:val="single" w:color="F7964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la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158">
    <w:name w:val="Light List"/>
    <w:basedOn w:val="12"/>
    <w:qFormat/>
    <w:uiPriority w:val="61"/>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159">
    <w:name w:val="Light List Accent 1"/>
    <w:basedOn w:val="12"/>
    <w:qFormat/>
    <w:uiPriority w:val="61"/>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160">
    <w:name w:val="Light List Accent 2"/>
    <w:basedOn w:val="12"/>
    <w:qFormat/>
    <w:uiPriority w:val="61"/>
    <w:tblPr>
      <w:tblBorders>
        <w:top w:val="single" w:color="C0504D" w:sz="8" w:space="0"/>
        <w:left w:val="single" w:color="C0504D" w:sz="8" w:space="0"/>
        <w:bottom w:val="single" w:color="C0504D" w:sz="8" w:space="0"/>
        <w:right w:val="single" w:color="C0504D"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161">
    <w:name w:val="Light List Accent 3"/>
    <w:basedOn w:val="12"/>
    <w:qFormat/>
    <w:uiPriority w:val="61"/>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162">
    <w:name w:val="Light List Accent 4"/>
    <w:basedOn w:val="12"/>
    <w:qFormat/>
    <w:uiPriority w:val="61"/>
    <w:tblPr>
      <w:tblBorders>
        <w:top w:val="single" w:color="8064A2" w:sz="8" w:space="0"/>
        <w:left w:val="single" w:color="8064A2" w:sz="8" w:space="0"/>
        <w:bottom w:val="single" w:color="8064A2" w:sz="8" w:space="0"/>
        <w:right w:val="single" w:color="8064A2"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163">
    <w:name w:val="Light List Accent 5"/>
    <w:basedOn w:val="12"/>
    <w:qFormat/>
    <w:uiPriority w:val="61"/>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164">
    <w:name w:val="Light List Accent 6"/>
    <w:basedOn w:val="12"/>
    <w:qFormat/>
    <w:uiPriority w:val="61"/>
    <w:tblPr>
      <w:tblBorders>
        <w:top w:val="single" w:color="F79646" w:sz="8" w:space="0"/>
        <w:left w:val="single" w:color="F79646" w:sz="8" w:space="0"/>
        <w:bottom w:val="single" w:color="F79646" w:sz="8" w:space="0"/>
        <w:right w:val="single" w:color="F79646"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table" w:styleId="165">
    <w:name w:val="Light Grid"/>
    <w:basedOn w:val="12"/>
    <w:qFormat/>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color="000000" w:sz="8" w:space="0"/>
          <w:left w:val="single" w:color="000000" w:sz="18" w:space="0"/>
          <w:bottom w:val="single" w:color="000000" w:sz="8" w:space="0"/>
          <w:right w:val="single" w:color="000000" w:sz="8" w:space="0"/>
          <w:insideH w:val="nil"/>
          <w:insideV w:val="single" w:sz="8" w:space="0"/>
        </w:tcBorders>
      </w:tcPr>
    </w:tblStylePr>
    <w:tblStylePr w:type="lastRow">
      <w:pPr>
        <w:spacing w:before="0" w:after="0" w:line="240" w:lineRule="auto"/>
      </w:pPr>
      <w:rPr>
        <w:rFonts w:cs="Times New Roman"/>
        <w:b/>
        <w:bCs/>
      </w:rPr>
      <w:tbl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styleId="166">
    <w:name w:val="Light Grid Accent 1"/>
    <w:basedOn w:val="12"/>
    <w:qFormat/>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color="4F81BD" w:sz="8" w:space="0"/>
          <w:left w:val="single" w:color="4F81BD" w:sz="18" w:space="0"/>
          <w:bottom w:val="single" w:color="4F81BD" w:sz="8" w:space="0"/>
          <w:right w:val="single" w:color="4F81BD" w:sz="8" w:space="0"/>
          <w:insideH w:val="nil"/>
          <w:insideV w:val="single" w:sz="8" w:space="0"/>
        </w:tcBorders>
      </w:tcPr>
    </w:tblStylePr>
    <w:tblStylePr w:type="lastRow">
      <w:pPr>
        <w:spacing w:before="0" w:after="0" w:line="240" w:lineRule="auto"/>
      </w:pPr>
      <w:rPr>
        <w:rFonts w:cs="Times New Roman"/>
        <w:b/>
        <w:bCs/>
      </w:rPr>
      <w:tbl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styleId="167">
    <w:name w:val="Light Grid Accent 2"/>
    <w:basedOn w:val="12"/>
    <w:qFormat/>
    <w:uiPriority w:val="62"/>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color="C0504D" w:sz="8" w:space="0"/>
          <w:left w:val="single" w:color="C0504D" w:sz="18" w:space="0"/>
          <w:bottom w:val="single" w:color="C0504D" w:sz="8" w:space="0"/>
          <w:right w:val="single" w:color="C0504D" w:sz="8" w:space="0"/>
          <w:insideH w:val="nil"/>
          <w:insideV w:val="single" w:sz="8" w:space="0"/>
        </w:tcBorders>
      </w:tcPr>
    </w:tblStylePr>
    <w:tblStylePr w:type="lastRow">
      <w:pPr>
        <w:spacing w:before="0" w:after="0" w:line="240" w:lineRule="auto"/>
      </w:pPr>
      <w:rPr>
        <w:rFonts w:cs="Times New Roman"/>
        <w:b/>
        <w:bCs/>
      </w:rPr>
      <w:tbl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C0504D" w:sz="8" w:space="0"/>
          <w:left w:val="single" w:color="C0504D" w:sz="8" w:space="0"/>
          <w:bottom w:val="single" w:color="C0504D" w:sz="8" w:space="0"/>
          <w:right w:val="single" w:color="C0504D" w:sz="8" w:space="0"/>
        </w:tcBorders>
      </w:tcPr>
    </w:tblStylePr>
    <w:tblStylePr w:type="band1Vert">
      <w:tblPr/>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styleId="168">
    <w:name w:val="Light Grid Accent 3"/>
    <w:basedOn w:val="12"/>
    <w:qFormat/>
    <w:uiPriority w:val="62"/>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color="9BBB59" w:sz="8" w:space="0"/>
          <w:left w:val="single" w:color="9BBB59" w:sz="18" w:space="0"/>
          <w:bottom w:val="single" w:color="9BBB59" w:sz="8" w:space="0"/>
          <w:right w:val="single" w:color="9BBB59" w:sz="8" w:space="0"/>
          <w:insideH w:val="nil"/>
          <w:insideV w:val="single" w:sz="8" w:space="0"/>
        </w:tcBorders>
      </w:tcPr>
    </w:tblStylePr>
    <w:tblStylePr w:type="lastRow">
      <w:pPr>
        <w:spacing w:before="0" w:after="0" w:line="240" w:lineRule="auto"/>
      </w:pPr>
      <w:rPr>
        <w:rFonts w:cs="Times New Roman"/>
        <w:b/>
        <w:bCs/>
      </w:rPr>
      <w:tblPr/>
      <w:tcPr>
        <w:tcBorders>
          <w:top w:val="double" w:color="9BBB59" w:sz="6" w:space="0"/>
          <w:left w:val="single" w:color="9BBB59" w:sz="8" w:space="0"/>
          <w:bottom w:val="single" w:color="9BBB59" w:sz="8" w:space="0"/>
          <w:right w:val="single" w:color="9BBB59"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sz="8" w:space="0"/>
        </w:tcBorders>
      </w:tcPr>
    </w:tblStylePr>
  </w:style>
  <w:style w:type="table" w:styleId="169">
    <w:name w:val="Light Grid Accent 4"/>
    <w:basedOn w:val="12"/>
    <w:qFormat/>
    <w:uiPriority w:val="62"/>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color="8064A2" w:sz="8" w:space="0"/>
          <w:left w:val="single" w:color="8064A2" w:sz="18" w:space="0"/>
          <w:bottom w:val="single" w:color="8064A2" w:sz="8" w:space="0"/>
          <w:right w:val="single" w:color="8064A2" w:sz="8" w:space="0"/>
          <w:insideH w:val="nil"/>
          <w:insideV w:val="single" w:sz="8" w:space="0"/>
        </w:tcBorders>
      </w:tcPr>
    </w:tblStylePr>
    <w:tblStylePr w:type="lastRow">
      <w:pPr>
        <w:spacing w:before="0" w:after="0" w:line="240" w:lineRule="auto"/>
      </w:pPr>
      <w:rPr>
        <w:rFonts w:cs="Times New Roman"/>
        <w:b/>
        <w:bCs/>
      </w:rPr>
      <w:tblPr/>
      <w:tcPr>
        <w:tcBorders>
          <w:top w:val="double" w:color="8064A2" w:sz="6" w:space="0"/>
          <w:left w:val="single" w:color="8064A2" w:sz="8" w:space="0"/>
          <w:bottom w:val="single" w:color="8064A2" w:sz="8" w:space="0"/>
          <w:right w:val="single" w:color="8064A2"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8064A2" w:sz="8" w:space="0"/>
          <w:left w:val="single" w:color="8064A2" w:sz="8" w:space="0"/>
          <w:bottom w:val="single" w:color="8064A2" w:sz="8" w:space="0"/>
          <w:right w:val="single" w:color="8064A2" w:sz="8" w:space="0"/>
        </w:tcBorders>
      </w:tcPr>
    </w:tblStylePr>
    <w:tblStylePr w:type="band1Vert">
      <w:tblPr/>
      <w:tcPr>
        <w:tcBorders>
          <w:top w:val="single" w:color="8064A2" w:sz="8" w:space="0"/>
          <w:left w:val="single" w:color="8064A2" w:sz="8" w:space="0"/>
          <w:bottom w:val="single" w:color="8064A2" w:sz="8" w:space="0"/>
          <w:right w:val="single" w:color="8064A2" w:sz="8" w:space="0"/>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V w:val="single" w:sz="8" w:space="0"/>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V w:val="single" w:sz="8" w:space="0"/>
        </w:tcBorders>
      </w:tcPr>
    </w:tblStylePr>
  </w:style>
  <w:style w:type="table" w:styleId="170">
    <w:name w:val="Light Grid Accent 5"/>
    <w:basedOn w:val="12"/>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color="4BACC6" w:sz="8" w:space="0"/>
          <w:left w:val="single" w:color="4BACC6" w:sz="18" w:space="0"/>
          <w:bottom w:val="single" w:color="4BACC6" w:sz="8" w:space="0"/>
          <w:right w:val="single" w:color="4BACC6" w:sz="8" w:space="0"/>
          <w:insideH w:val="nil"/>
          <w:insideV w:val="single" w:sz="8" w:space="0"/>
        </w:tcBorders>
      </w:tcPr>
    </w:tblStylePr>
    <w:tblStylePr w:type="lastRow">
      <w:pPr>
        <w:spacing w:before="0" w:after="0" w:line="240" w:lineRule="auto"/>
      </w:pPr>
      <w:rPr>
        <w:rFonts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styleId="171">
    <w:name w:val="Light Grid Accent 6"/>
    <w:basedOn w:val="12"/>
    <w:qFormat/>
    <w:uiPriority w:val="62"/>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color="F79646" w:sz="8" w:space="0"/>
          <w:left w:val="single" w:color="F79646" w:sz="18" w:space="0"/>
          <w:bottom w:val="single" w:color="F79646" w:sz="8" w:space="0"/>
          <w:right w:val="single" w:color="F79646" w:sz="8" w:space="0"/>
          <w:insideH w:val="nil"/>
          <w:insideV w:val="single" w:sz="8" w:space="0"/>
        </w:tcBorders>
      </w:tcPr>
    </w:tblStylePr>
    <w:tblStylePr w:type="lastRow">
      <w:pPr>
        <w:spacing w:before="0" w:after="0" w:line="240" w:lineRule="auto"/>
      </w:pPr>
      <w:rPr>
        <w:rFonts w:cs="Times New Roman"/>
        <w:b/>
        <w:bCs/>
      </w:rPr>
      <w:tbl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styleId="172">
    <w:name w:val="Medium Shading 1"/>
    <w:basedOn w:val="12"/>
    <w:qFormat/>
    <w:uiPriority w:val="63"/>
    <w:tblPr>
      <w:tblBorders>
        <w:top w:val="single" w:color="404040" w:sz="8" w:space="0"/>
        <w:left w:val="single" w:color="404040" w:sz="8" w:space="0"/>
        <w:bottom w:val="single" w:color="404040" w:sz="8" w:space="0"/>
        <w:right w:val="single" w:color="404040" w:sz="8" w:space="0"/>
        <w:insideH w:val="single" w:color="404040" w:sz="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bl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173">
    <w:name w:val="Medium Shading 1 Accent 1"/>
    <w:basedOn w:val="12"/>
    <w:qFormat/>
    <w:uiPriority w:val="63"/>
    <w:tblPr>
      <w:tblBorders>
        <w:top w:val="single" w:color="7BA0CD" w:sz="8" w:space="0"/>
        <w:left w:val="single" w:color="7BA0CD" w:sz="8" w:space="0"/>
        <w:bottom w:val="single" w:color="7BA0CD" w:sz="8" w:space="0"/>
        <w:right w:val="single" w:color="7BA0CD" w:sz="8" w:space="0"/>
        <w:insideH w:val="single" w:color="7BA0CD" w:sz="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74">
    <w:name w:val="Medium Shading 1 Accent 2"/>
    <w:basedOn w:val="12"/>
    <w:qFormat/>
    <w:uiPriority w:val="63"/>
    <w:tblPr>
      <w:tblBorders>
        <w:top w:val="single" w:color="CF7B79" w:sz="8" w:space="0"/>
        <w:left w:val="single" w:color="CF7B79" w:sz="8" w:space="0"/>
        <w:bottom w:val="single" w:color="CF7B79" w:sz="8" w:space="0"/>
        <w:right w:val="single" w:color="CF7B79" w:sz="8" w:space="0"/>
        <w:insideH w:val="single" w:color="CF7B79" w:sz="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75">
    <w:name w:val="Medium Shading 1 Accent 3"/>
    <w:basedOn w:val="12"/>
    <w:qFormat/>
    <w:uiPriority w:val="63"/>
    <w:tblPr>
      <w:tblBorders>
        <w:top w:val="single" w:color="B3CC82" w:sz="8" w:space="0"/>
        <w:left w:val="single" w:color="B3CC82" w:sz="8" w:space="0"/>
        <w:bottom w:val="single" w:color="B3CC82" w:sz="8" w:space="0"/>
        <w:right w:val="single" w:color="B3CC82" w:sz="8" w:space="0"/>
        <w:insideH w:val="single" w:color="B3CC82" w:sz="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76">
    <w:name w:val="Medium Shading 1 Accent 4"/>
    <w:basedOn w:val="12"/>
    <w:qFormat/>
    <w:uiPriority w:val="63"/>
    <w:tblPr>
      <w:tblBorders>
        <w:top w:val="single" w:color="9F8AB9" w:sz="8" w:space="0"/>
        <w:left w:val="single" w:color="9F8AB9" w:sz="8" w:space="0"/>
        <w:bottom w:val="single" w:color="9F8AB9" w:sz="8" w:space="0"/>
        <w:right w:val="single" w:color="9F8AB9" w:sz="8" w:space="0"/>
        <w:insideH w:val="single" w:color="9F8AB9" w:sz="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bl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77">
    <w:name w:val="Medium Shading 1 Accent 5"/>
    <w:basedOn w:val="12"/>
    <w:qFormat/>
    <w:uiPriority w:val="63"/>
    <w:tblPr>
      <w:tblBorders>
        <w:top w:val="single" w:color="78C0D4" w:sz="8" w:space="0"/>
        <w:left w:val="single" w:color="78C0D4" w:sz="8" w:space="0"/>
        <w:bottom w:val="single" w:color="78C0D4" w:sz="8" w:space="0"/>
        <w:right w:val="single" w:color="78C0D4" w:sz="8" w:space="0"/>
        <w:insideH w:val="single" w:color="78C0D4" w:sz="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78">
    <w:name w:val="Medium Shading 1 Accent 6"/>
    <w:basedOn w:val="12"/>
    <w:qFormat/>
    <w:uiPriority w:val="63"/>
    <w:tblPr>
      <w:tblBorders>
        <w:top w:val="single" w:color="F9B074" w:sz="8" w:space="0"/>
        <w:left w:val="single" w:color="F9B074" w:sz="8" w:space="0"/>
        <w:bottom w:val="single" w:color="F9B074" w:sz="8" w:space="0"/>
        <w:right w:val="single" w:color="F9B074" w:sz="8" w:space="0"/>
        <w:insideH w:val="single" w:color="F9B074" w:sz="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79">
    <w:name w:val="Medium Shading 2"/>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0">
    <w:name w:val="Medium Shading 2 Accent 1"/>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1">
    <w:name w:val="Medium Shading 2 Accent 2"/>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2">
    <w:name w:val="Medium Shading 2 Accent 3"/>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3">
    <w:name w:val="Medium Shading 2 Accent 4"/>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4">
    <w:name w:val="Medium Shading 2 Accent 5"/>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5">
    <w:name w:val="Medium Shading 2 Accent 6"/>
    <w:basedOn w:val="12"/>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6">
    <w:name w:val="Medium List 1"/>
    <w:basedOn w:val="12"/>
    <w:qFormat/>
    <w:uiPriority w:val="65"/>
    <w:rPr>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rPr>
        <w:rFonts w:cs="Times New Roman"/>
      </w:rPr>
      <w:tblPr/>
      <w:tcPr>
        <w:tcBorders>
          <w:top w:val="nil"/>
          <w:left w:val="single" w:color="000000" w:sz="8" w:space="0"/>
        </w:tcBorders>
      </w:tcPr>
    </w:tblStylePr>
    <w:tblStylePr w:type="lastRow">
      <w:rPr>
        <w:b/>
        <w:bCs/>
        <w:color w:val="1F497D"/>
      </w:rPr>
      <w:tblPr/>
      <w:tcPr>
        <w:tcBorders>
          <w:top w:val="single" w:color="000000" w:sz="8" w:space="0"/>
          <w:left w:val="single" w:color="000000" w:sz="8" w:space="0"/>
        </w:tcBorders>
      </w:tcPr>
    </w:tblStylePr>
    <w:tblStylePr w:type="firstCol">
      <w:rPr>
        <w:b/>
        <w:bCs/>
      </w:rPr>
    </w:tblStylePr>
    <w:tblStylePr w:type="lastCol">
      <w:rPr>
        <w:b/>
        <w:bCs/>
      </w:rPr>
      <w:tblPr/>
      <w:tcPr>
        <w:tcBorders>
          <w:top w:val="single" w:color="000000" w:sz="8" w:space="0"/>
          <w:left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187">
    <w:name w:val="Medium List 1 Accent 1"/>
    <w:basedOn w:val="12"/>
    <w:qFormat/>
    <w:uiPriority w:val="65"/>
    <w:rPr>
      <w:color w:val="000000"/>
    </w:rPr>
    <w:tblPr>
      <w:tblBorders>
        <w:top w:val="single" w:color="4F81BD" w:sz="8" w:space="0"/>
        <w:bottom w:val="single" w:color="4F81BD" w:sz="8" w:space="0"/>
      </w:tblBorders>
      <w:tblCellMar>
        <w:top w:w="0" w:type="dxa"/>
        <w:left w:w="108" w:type="dxa"/>
        <w:bottom w:w="0" w:type="dxa"/>
        <w:right w:w="108" w:type="dxa"/>
      </w:tblCellMar>
    </w:tblPr>
    <w:tblStylePr w:type="firstRow">
      <w:rPr>
        <w:rFonts w:cs="Times New Roman"/>
      </w:rPr>
      <w:tblPr/>
      <w:tcPr>
        <w:tcBorders>
          <w:top w:val="nil"/>
          <w:left w:val="single" w:color="4F81BD" w:sz="8" w:space="0"/>
        </w:tcBorders>
      </w:tcPr>
    </w:tblStylePr>
    <w:tblStylePr w:type="lastRow">
      <w:rPr>
        <w:b/>
        <w:bCs/>
        <w:color w:val="1F497D"/>
      </w:rPr>
      <w:tblPr/>
      <w:tcPr>
        <w:tcBorders>
          <w:top w:val="single" w:color="4F81BD" w:sz="8" w:space="0"/>
          <w:left w:val="single" w:color="4F81BD" w:sz="8" w:space="0"/>
        </w:tcBorders>
      </w:tcPr>
    </w:tblStylePr>
    <w:tblStylePr w:type="firstCol">
      <w:rPr>
        <w:b/>
        <w:bCs/>
      </w:rPr>
    </w:tblStylePr>
    <w:tblStylePr w:type="lastCol">
      <w:rPr>
        <w:b/>
        <w:bCs/>
      </w:rPr>
      <w:tblPr/>
      <w:tcPr>
        <w:tcBorders>
          <w:top w:val="single" w:color="4F81BD" w:sz="8" w:space="0"/>
          <w:left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188">
    <w:name w:val="Medium List 1 Accent 2"/>
    <w:basedOn w:val="12"/>
    <w:qFormat/>
    <w:uiPriority w:val="65"/>
    <w:rPr>
      <w:color w:val="000000"/>
    </w:rPr>
    <w:tblPr>
      <w:tblBorders>
        <w:top w:val="single" w:color="C0504D" w:sz="8" w:space="0"/>
        <w:bottom w:val="single" w:color="C0504D" w:sz="8" w:space="0"/>
      </w:tblBorders>
      <w:tblCellMar>
        <w:top w:w="0" w:type="dxa"/>
        <w:left w:w="108" w:type="dxa"/>
        <w:bottom w:w="0" w:type="dxa"/>
        <w:right w:w="108" w:type="dxa"/>
      </w:tblCellMar>
    </w:tblPr>
    <w:tblStylePr w:type="firstRow">
      <w:rPr>
        <w:rFonts w:cs="Times New Roman"/>
      </w:rPr>
      <w:tblPr/>
      <w:tcPr>
        <w:tcBorders>
          <w:top w:val="nil"/>
          <w:left w:val="single" w:color="C0504D" w:sz="8" w:space="0"/>
        </w:tcBorders>
      </w:tcPr>
    </w:tblStylePr>
    <w:tblStylePr w:type="lastRow">
      <w:rPr>
        <w:b/>
        <w:bCs/>
        <w:color w:val="1F497D"/>
      </w:rPr>
      <w:tblPr/>
      <w:tcPr>
        <w:tcBorders>
          <w:top w:val="single" w:color="C0504D" w:sz="8" w:space="0"/>
          <w:left w:val="single" w:color="C0504D" w:sz="8" w:space="0"/>
        </w:tcBorders>
      </w:tcPr>
    </w:tblStylePr>
    <w:tblStylePr w:type="firstCol">
      <w:rPr>
        <w:b/>
        <w:bCs/>
      </w:rPr>
    </w:tblStylePr>
    <w:tblStylePr w:type="lastCol">
      <w:rPr>
        <w:b/>
        <w:bCs/>
      </w:rPr>
      <w:tblPr/>
      <w:tcPr>
        <w:tcBorders>
          <w:top w:val="single" w:color="C0504D" w:sz="8" w:space="0"/>
          <w:left w:val="single" w:color="C0504D" w:sz="8" w:space="0"/>
        </w:tcBorders>
      </w:tcPr>
    </w:tblStylePr>
    <w:tblStylePr w:type="band1Vert">
      <w:tblPr/>
      <w:tcPr>
        <w:shd w:val="clear" w:color="auto" w:fill="EFD3D2"/>
      </w:tcPr>
    </w:tblStylePr>
    <w:tblStylePr w:type="band1Horz">
      <w:tblPr/>
      <w:tcPr>
        <w:shd w:val="clear" w:color="auto" w:fill="EFD3D2"/>
      </w:tcPr>
    </w:tblStylePr>
  </w:style>
  <w:style w:type="table" w:styleId="189">
    <w:name w:val="Medium List 1 Accent 3"/>
    <w:basedOn w:val="12"/>
    <w:qFormat/>
    <w:uiPriority w:val="65"/>
    <w:rPr>
      <w:color w:val="000000"/>
    </w:rPr>
    <w:tblPr>
      <w:tblBorders>
        <w:top w:val="single" w:color="9BBB59" w:sz="8" w:space="0"/>
        <w:bottom w:val="single" w:color="9BBB59" w:sz="8" w:space="0"/>
      </w:tblBorders>
      <w:tblCellMar>
        <w:top w:w="0" w:type="dxa"/>
        <w:left w:w="108" w:type="dxa"/>
        <w:bottom w:w="0" w:type="dxa"/>
        <w:right w:w="108" w:type="dxa"/>
      </w:tblCellMar>
    </w:tblPr>
    <w:tblStylePr w:type="firstRow">
      <w:rPr>
        <w:rFonts w:cs="Times New Roman"/>
      </w:rPr>
      <w:tblPr/>
      <w:tcPr>
        <w:tcBorders>
          <w:top w:val="nil"/>
          <w:left w:val="single" w:color="9BBB59" w:sz="8" w:space="0"/>
        </w:tcBorders>
      </w:tcPr>
    </w:tblStylePr>
    <w:tblStylePr w:type="lastRow">
      <w:rPr>
        <w:b/>
        <w:bCs/>
        <w:color w:val="1F497D"/>
      </w:rPr>
      <w:tblPr/>
      <w:tcPr>
        <w:tcBorders>
          <w:top w:val="single" w:color="9BBB59" w:sz="8" w:space="0"/>
          <w:left w:val="single" w:color="9BBB59" w:sz="8" w:space="0"/>
        </w:tcBorders>
      </w:tcPr>
    </w:tblStylePr>
    <w:tblStylePr w:type="firstCol">
      <w:rPr>
        <w:b/>
        <w:bCs/>
      </w:rPr>
    </w:tblStylePr>
    <w:tblStylePr w:type="lastCol">
      <w:rPr>
        <w:b/>
        <w:bCs/>
      </w:rPr>
      <w:tblPr/>
      <w:tcPr>
        <w:tcBorders>
          <w:top w:val="single" w:color="9BBB59" w:sz="8" w:space="0"/>
          <w:left w:val="single" w:color="9BBB59" w:sz="8" w:space="0"/>
        </w:tcBorders>
      </w:tcPr>
    </w:tblStylePr>
    <w:tblStylePr w:type="band1Vert">
      <w:tblPr/>
      <w:tcPr>
        <w:shd w:val="clear" w:color="auto" w:fill="E6EED5"/>
      </w:tcPr>
    </w:tblStylePr>
    <w:tblStylePr w:type="band1Horz">
      <w:tblPr/>
      <w:tcPr>
        <w:shd w:val="clear" w:color="auto" w:fill="E6EED5"/>
      </w:tcPr>
    </w:tblStylePr>
  </w:style>
  <w:style w:type="table" w:styleId="190">
    <w:name w:val="Medium List 1 Accent 4"/>
    <w:basedOn w:val="12"/>
    <w:uiPriority w:val="65"/>
    <w:rPr>
      <w:color w:val="000000"/>
    </w:rPr>
    <w:tblPr>
      <w:tblBorders>
        <w:top w:val="single" w:color="8064A2" w:sz="8" w:space="0"/>
        <w:bottom w:val="single" w:color="8064A2" w:sz="8" w:space="0"/>
      </w:tblBorders>
      <w:tblCellMar>
        <w:top w:w="0" w:type="dxa"/>
        <w:left w:w="108" w:type="dxa"/>
        <w:bottom w:w="0" w:type="dxa"/>
        <w:right w:w="108" w:type="dxa"/>
      </w:tblCellMar>
    </w:tblPr>
    <w:tblStylePr w:type="firstRow">
      <w:rPr>
        <w:rFonts w:cs="Times New Roman"/>
      </w:rPr>
      <w:tblPr/>
      <w:tcPr>
        <w:tcBorders>
          <w:top w:val="nil"/>
          <w:left w:val="single" w:color="8064A2" w:sz="8" w:space="0"/>
        </w:tcBorders>
      </w:tcPr>
    </w:tblStylePr>
    <w:tblStylePr w:type="lastRow">
      <w:rPr>
        <w:b/>
        <w:bCs/>
        <w:color w:val="1F497D"/>
      </w:rPr>
      <w:tblPr/>
      <w:tcPr>
        <w:tcBorders>
          <w:top w:val="single" w:color="8064A2" w:sz="8" w:space="0"/>
          <w:left w:val="single" w:color="8064A2" w:sz="8" w:space="0"/>
        </w:tcBorders>
      </w:tcPr>
    </w:tblStylePr>
    <w:tblStylePr w:type="firstCol">
      <w:rPr>
        <w:b/>
        <w:bCs/>
      </w:rPr>
    </w:tblStylePr>
    <w:tblStylePr w:type="lastCol">
      <w:rPr>
        <w:b/>
        <w:bCs/>
      </w:rPr>
      <w:tblPr/>
      <w:tcPr>
        <w:tcBorders>
          <w:top w:val="single" w:color="8064A2" w:sz="8" w:space="0"/>
          <w:left w:val="single" w:color="8064A2" w:sz="8" w:space="0"/>
        </w:tcBorders>
      </w:tcPr>
    </w:tblStylePr>
    <w:tblStylePr w:type="band1Vert">
      <w:tblPr/>
      <w:tcPr>
        <w:shd w:val="clear" w:color="auto" w:fill="DFD8E8"/>
      </w:tcPr>
    </w:tblStylePr>
    <w:tblStylePr w:type="band1Horz">
      <w:tblPr/>
      <w:tcPr>
        <w:shd w:val="clear" w:color="auto" w:fill="DFD8E8"/>
      </w:tcPr>
    </w:tblStylePr>
  </w:style>
  <w:style w:type="table" w:styleId="191">
    <w:name w:val="Medium List 1 Accent 5"/>
    <w:basedOn w:val="12"/>
    <w:qFormat/>
    <w:uiPriority w:val="65"/>
    <w:rPr>
      <w:color w:val="000000"/>
    </w:rPr>
    <w:tblPr>
      <w:tblBorders>
        <w:top w:val="single" w:color="4BACC6" w:sz="8" w:space="0"/>
        <w:bottom w:val="single" w:color="4BACC6" w:sz="8" w:space="0"/>
      </w:tblBorders>
      <w:tblCellMar>
        <w:top w:w="0" w:type="dxa"/>
        <w:left w:w="108" w:type="dxa"/>
        <w:bottom w:w="0" w:type="dxa"/>
        <w:right w:w="108" w:type="dxa"/>
      </w:tblCellMar>
    </w:tblPr>
    <w:tblStylePr w:type="firstRow">
      <w:rPr>
        <w:rFonts w:cs="Times New Roman"/>
      </w:rPr>
      <w:tblPr/>
      <w:tcPr>
        <w:tcBorders>
          <w:top w:val="nil"/>
          <w:left w:val="single" w:color="4BACC6" w:sz="8" w:space="0"/>
        </w:tcBorders>
      </w:tcPr>
    </w:tblStylePr>
    <w:tblStylePr w:type="lastRow">
      <w:rPr>
        <w:b/>
        <w:bCs/>
        <w:color w:val="1F497D"/>
      </w:rPr>
      <w:tblPr/>
      <w:tcPr>
        <w:tcBorders>
          <w:top w:val="single" w:color="4BACC6" w:sz="8" w:space="0"/>
          <w:left w:val="single" w:color="4BACC6" w:sz="8" w:space="0"/>
        </w:tcBorders>
      </w:tcPr>
    </w:tblStylePr>
    <w:tblStylePr w:type="firstCol">
      <w:rPr>
        <w:b/>
        <w:bCs/>
      </w:rPr>
    </w:tblStylePr>
    <w:tblStylePr w:type="lastCol">
      <w:rPr>
        <w:b/>
        <w:bCs/>
      </w:rPr>
      <w:tblPr/>
      <w:tcPr>
        <w:tcBorders>
          <w:top w:val="single" w:color="4BACC6" w:sz="8" w:space="0"/>
          <w:left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192">
    <w:name w:val="Medium List 1 Accent 6"/>
    <w:basedOn w:val="12"/>
    <w:uiPriority w:val="65"/>
    <w:rPr>
      <w:color w:val="000000"/>
    </w:rPr>
    <w:tblPr>
      <w:tblBorders>
        <w:top w:val="single" w:color="F79646" w:sz="8" w:space="0"/>
        <w:bottom w:val="single" w:color="F79646" w:sz="8" w:space="0"/>
      </w:tblBorders>
      <w:tblCellMar>
        <w:top w:w="0" w:type="dxa"/>
        <w:left w:w="108" w:type="dxa"/>
        <w:bottom w:w="0" w:type="dxa"/>
        <w:right w:w="108" w:type="dxa"/>
      </w:tblCellMar>
    </w:tblPr>
    <w:tblStylePr w:type="firstRow">
      <w:rPr>
        <w:rFonts w:cs="Times New Roman"/>
      </w:rPr>
      <w:tblPr/>
      <w:tcPr>
        <w:tcBorders>
          <w:top w:val="nil"/>
          <w:left w:val="single" w:color="F79646" w:sz="8" w:space="0"/>
        </w:tcBorders>
      </w:tcPr>
    </w:tblStylePr>
    <w:tblStylePr w:type="lastRow">
      <w:rPr>
        <w:b/>
        <w:bCs/>
        <w:color w:val="1F497D"/>
      </w:rPr>
      <w:tblPr/>
      <w:tcPr>
        <w:tcBorders>
          <w:top w:val="single" w:color="F79646" w:sz="8" w:space="0"/>
          <w:left w:val="single" w:color="F79646" w:sz="8" w:space="0"/>
        </w:tcBorders>
      </w:tcPr>
    </w:tblStylePr>
    <w:tblStylePr w:type="firstCol">
      <w:rPr>
        <w:b/>
        <w:bCs/>
      </w:rPr>
    </w:tblStylePr>
    <w:tblStylePr w:type="lastCol">
      <w:rPr>
        <w:b/>
        <w:bCs/>
      </w:rPr>
      <w:tblPr/>
      <w:tcPr>
        <w:tcBorders>
          <w:top w:val="single" w:color="F79646" w:sz="8" w:space="0"/>
          <w:left w:val="single" w:color="F79646" w:sz="8" w:space="0"/>
        </w:tcBorders>
      </w:tcPr>
    </w:tblStylePr>
    <w:tblStylePr w:type="band1Vert">
      <w:tblPr/>
      <w:tcPr>
        <w:shd w:val="clear" w:color="auto" w:fill="FDE4D0"/>
      </w:tcPr>
    </w:tblStylePr>
    <w:tblStylePr w:type="band1Horz">
      <w:tblPr/>
      <w:tcPr>
        <w:shd w:val="clear" w:color="auto" w:fill="FDE4D0"/>
      </w:tcPr>
    </w:tblStylePr>
  </w:style>
  <w:style w:type="table" w:styleId="193">
    <w:name w:val="Medium List 2"/>
    <w:basedOn w:val="12"/>
    <w:qFormat/>
    <w:uiPriority w:val="66"/>
    <w:rPr>
      <w:rFonts w:ascii="SimSun" w:hAnsi="SimSun" w:eastAsia="Courier New"/>
      <w:color w:val="000000"/>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rPr>
        <w:sz w:val="24"/>
        <w:szCs w:val="24"/>
      </w:rPr>
      <w:tblPr/>
      <w:tcPr>
        <w:tcBorders>
          <w:top w:val="nil"/>
          <w:left w:val="single" w:color="000000" w:sz="24" w:space="0"/>
          <w:bottom w:val="nil"/>
          <w:right w:val="nil"/>
          <w:insideH w:val="nil"/>
          <w:insideV w:val="nil"/>
        </w:tcBorders>
        <w:shd w:val="clear" w:color="auto" w:fill="FFFFFF"/>
      </w:tcPr>
    </w:tblStylePr>
    <w:tblStylePr w:type="lastRow">
      <w:tblPr/>
      <w:tcPr>
        <w:tcBorders>
          <w:top w:val="single" w:color="000000" w:sz="8" w:space="0"/>
          <w:left w:val="nil"/>
          <w:bottom w:val="nil"/>
          <w:right w:val="nil"/>
          <w:insideH w:val="nil"/>
          <w:insideV w:val="nil"/>
        </w:tcBorders>
        <w:shd w:val="clear" w:color="auto" w:fill="FFFFFF"/>
      </w:tcPr>
    </w:tblStylePr>
    <w:tblStylePr w:type="firstCol">
      <w:tblPr/>
      <w:tcPr>
        <w:tcBorders>
          <w:top w:val="nil"/>
          <w:left w:val="nil"/>
          <w:bottom w:val="nil"/>
          <w:right w:val="single" w:color="000000" w:sz="8" w:space="0"/>
          <w:insideH w:val="nil"/>
          <w:insideV w:val="nil"/>
        </w:tcBorders>
        <w:shd w:val="clear" w:color="auto" w:fill="FFFFFF"/>
      </w:tcPr>
    </w:tblStylePr>
    <w:tblStylePr w:type="lastCol">
      <w:tblPr/>
      <w:tcPr>
        <w:tcBorders>
          <w:top w:val="nil"/>
          <w:left w:val="nil"/>
          <w:bottom w:val="single" w:color="000000"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194">
    <w:name w:val="Medium List 2 Accent 1"/>
    <w:basedOn w:val="12"/>
    <w:qFormat/>
    <w:uiPriority w:val="66"/>
    <w:rPr>
      <w:rFonts w:ascii="SimSun" w:hAnsi="SimSun" w:eastAsia="Courier New"/>
      <w:color w:val="000000"/>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rPr>
        <w:sz w:val="24"/>
        <w:szCs w:val="24"/>
      </w:rPr>
      <w:tblPr/>
      <w:tcPr>
        <w:tcBorders>
          <w:top w:val="nil"/>
          <w:left w:val="single" w:color="4F81BD" w:sz="24" w:space="0"/>
          <w:bottom w:val="nil"/>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nil"/>
          <w:bottom w:val="single" w:color="4F81B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195">
    <w:name w:val="Medium List 2 Accent 2"/>
    <w:basedOn w:val="12"/>
    <w:qFormat/>
    <w:uiPriority w:val="66"/>
    <w:rPr>
      <w:rFonts w:ascii="SimSun" w:hAnsi="SimSun" w:eastAsia="Courier New"/>
      <w:color w:val="000000"/>
    </w:rPr>
    <w:tblPr>
      <w:tblBorders>
        <w:top w:val="single" w:color="C0504D" w:sz="8" w:space="0"/>
        <w:left w:val="single" w:color="C0504D" w:sz="8" w:space="0"/>
        <w:bottom w:val="single" w:color="C0504D" w:sz="8" w:space="0"/>
        <w:right w:val="single" w:color="C0504D" w:sz="8" w:space="0"/>
      </w:tblBorders>
      <w:tblCellMar>
        <w:top w:w="0" w:type="dxa"/>
        <w:left w:w="108" w:type="dxa"/>
        <w:bottom w:w="0" w:type="dxa"/>
        <w:right w:w="108" w:type="dxa"/>
      </w:tblCellMar>
    </w:tblPr>
    <w:tblStylePr w:type="firstRow">
      <w:rPr>
        <w:sz w:val="24"/>
        <w:szCs w:val="24"/>
      </w:rPr>
      <w:tblPr/>
      <w:tcPr>
        <w:tcBorders>
          <w:top w:val="nil"/>
          <w:left w:val="single" w:color="C0504D" w:sz="24" w:space="0"/>
          <w:bottom w:val="nil"/>
          <w:right w:val="nil"/>
          <w:insideH w:val="nil"/>
          <w:insideV w:val="nil"/>
        </w:tcBorders>
        <w:shd w:val="clear" w:color="auto" w:fill="FFFFFF"/>
      </w:tcPr>
    </w:tblStylePr>
    <w:tblStylePr w:type="lastRow">
      <w:tblPr/>
      <w:tcPr>
        <w:tcBorders>
          <w:top w:val="single" w:color="C0504D" w:sz="8" w:space="0"/>
          <w:left w:val="nil"/>
          <w:bottom w:val="nil"/>
          <w:right w:val="nil"/>
          <w:insideH w:val="nil"/>
          <w:insideV w:val="nil"/>
        </w:tcBorders>
        <w:shd w:val="clear" w:color="auto" w:fill="FFFFFF"/>
      </w:tcPr>
    </w:tblStylePr>
    <w:tblStylePr w:type="firstCol">
      <w:tblPr/>
      <w:tcPr>
        <w:tcBorders>
          <w:top w:val="nil"/>
          <w:left w:val="nil"/>
          <w:bottom w:val="nil"/>
          <w:right w:val="single" w:color="C0504D" w:sz="8" w:space="0"/>
          <w:insideH w:val="nil"/>
          <w:insideV w:val="nil"/>
        </w:tcBorders>
        <w:shd w:val="clear" w:color="auto" w:fill="FFFFFF"/>
      </w:tcPr>
    </w:tblStylePr>
    <w:tblStylePr w:type="lastCol">
      <w:tblPr/>
      <w:tcPr>
        <w:tcBorders>
          <w:top w:val="nil"/>
          <w:left w:val="nil"/>
          <w:bottom w:val="single" w:color="C0504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196">
    <w:name w:val="Medium List 2 Accent 3"/>
    <w:basedOn w:val="12"/>
    <w:qFormat/>
    <w:uiPriority w:val="66"/>
    <w:rPr>
      <w:rFonts w:ascii="SimSun" w:hAnsi="SimSun" w:eastAsia="Courier New"/>
      <w:color w:val="000000"/>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rPr>
        <w:sz w:val="24"/>
        <w:szCs w:val="24"/>
      </w:rPr>
      <w:tblPr/>
      <w:tcPr>
        <w:tcBorders>
          <w:top w:val="nil"/>
          <w:left w:val="single" w:color="9BBB59" w:sz="24" w:space="0"/>
          <w:bottom w:val="nil"/>
          <w:right w:val="nil"/>
          <w:insideH w:val="nil"/>
          <w:insideV w:val="nil"/>
        </w:tcBorders>
        <w:shd w:val="clear" w:color="auto" w:fill="FFFFFF"/>
      </w:tcPr>
    </w:tblStylePr>
    <w:tblStylePr w:type="lastRow">
      <w:tblPr/>
      <w:tcPr>
        <w:tcBorders>
          <w:top w:val="single" w:color="9BBB59" w:sz="8" w:space="0"/>
          <w:left w:val="nil"/>
          <w:bottom w:val="nil"/>
          <w:right w:val="nil"/>
          <w:insideH w:val="nil"/>
          <w:insideV w:val="nil"/>
        </w:tcBorders>
        <w:shd w:val="clear" w:color="auto" w:fill="FFFFFF"/>
      </w:tcPr>
    </w:tblStylePr>
    <w:tblStylePr w:type="firstCol">
      <w:tblPr/>
      <w:tcPr>
        <w:tcBorders>
          <w:top w:val="nil"/>
          <w:left w:val="nil"/>
          <w:bottom w:val="nil"/>
          <w:right w:val="single" w:color="9BBB59" w:sz="8" w:space="0"/>
          <w:insideH w:val="nil"/>
          <w:insideV w:val="nil"/>
        </w:tcBorders>
        <w:shd w:val="clear" w:color="auto" w:fill="FFFFFF"/>
      </w:tcPr>
    </w:tblStylePr>
    <w:tblStylePr w:type="lastCol">
      <w:tblPr/>
      <w:tcPr>
        <w:tcBorders>
          <w:top w:val="nil"/>
          <w:left w:val="nil"/>
          <w:bottom w:val="single" w:color="9BBB59"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197">
    <w:name w:val="Medium List 2 Accent 4"/>
    <w:basedOn w:val="12"/>
    <w:qFormat/>
    <w:uiPriority w:val="66"/>
    <w:rPr>
      <w:rFonts w:ascii="SimSun" w:hAnsi="SimSun" w:eastAsia="Courier New"/>
      <w:color w:val="000000"/>
    </w:rPr>
    <w:tblPr>
      <w:tblBorders>
        <w:top w:val="single" w:color="8064A2" w:sz="8" w:space="0"/>
        <w:left w:val="single" w:color="8064A2" w:sz="8" w:space="0"/>
        <w:bottom w:val="single" w:color="8064A2" w:sz="8" w:space="0"/>
        <w:right w:val="single" w:color="8064A2" w:sz="8" w:space="0"/>
      </w:tblBorders>
      <w:tblCellMar>
        <w:top w:w="0" w:type="dxa"/>
        <w:left w:w="108" w:type="dxa"/>
        <w:bottom w:w="0" w:type="dxa"/>
        <w:right w:w="108" w:type="dxa"/>
      </w:tblCellMar>
    </w:tblPr>
    <w:tblStylePr w:type="firstRow">
      <w:rPr>
        <w:sz w:val="24"/>
        <w:szCs w:val="24"/>
      </w:rPr>
      <w:tblPr/>
      <w:tcPr>
        <w:tcBorders>
          <w:top w:val="nil"/>
          <w:left w:val="single" w:color="8064A2" w:sz="24" w:space="0"/>
          <w:bottom w:val="nil"/>
          <w:right w:val="nil"/>
          <w:insideH w:val="nil"/>
          <w:insideV w:val="nil"/>
        </w:tcBorders>
        <w:shd w:val="clear" w:color="auto" w:fill="FFFFFF"/>
      </w:tcPr>
    </w:tblStylePr>
    <w:tblStylePr w:type="lastRow">
      <w:tblPr/>
      <w:tcPr>
        <w:tcBorders>
          <w:top w:val="single" w:color="8064A2" w:sz="8" w:space="0"/>
          <w:left w:val="nil"/>
          <w:bottom w:val="nil"/>
          <w:right w:val="nil"/>
          <w:insideH w:val="nil"/>
          <w:insideV w:val="nil"/>
        </w:tcBorders>
        <w:shd w:val="clear" w:color="auto" w:fill="FFFFFF"/>
      </w:tcPr>
    </w:tblStylePr>
    <w:tblStylePr w:type="firstCol">
      <w:tblPr/>
      <w:tcPr>
        <w:tcBorders>
          <w:top w:val="nil"/>
          <w:left w:val="nil"/>
          <w:bottom w:val="nil"/>
          <w:right w:val="single" w:color="8064A2" w:sz="8" w:space="0"/>
          <w:insideH w:val="nil"/>
          <w:insideV w:val="nil"/>
        </w:tcBorders>
        <w:shd w:val="clear" w:color="auto" w:fill="FFFFFF"/>
      </w:tcPr>
    </w:tblStylePr>
    <w:tblStylePr w:type="lastCol">
      <w:tblPr/>
      <w:tcPr>
        <w:tcBorders>
          <w:top w:val="nil"/>
          <w:left w:val="nil"/>
          <w:bottom w:val="single" w:color="8064A2"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198">
    <w:name w:val="Medium List 2 Accent 5"/>
    <w:basedOn w:val="12"/>
    <w:qFormat/>
    <w:uiPriority w:val="66"/>
    <w:rPr>
      <w:rFonts w:ascii="SimSun" w:hAnsi="SimSun" w:eastAsia="Courier New"/>
      <w:color w:val="000000"/>
    </w:rPr>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tblStylePr w:type="firstRow">
      <w:rPr>
        <w:sz w:val="24"/>
        <w:szCs w:val="24"/>
      </w:rPr>
      <w:tblPr/>
      <w:tcPr>
        <w:tcBorders>
          <w:top w:val="nil"/>
          <w:left w:val="single" w:color="4BACC6" w:sz="24" w:space="0"/>
          <w:bottom w:val="nil"/>
          <w:right w:val="nil"/>
          <w:insideH w:val="nil"/>
          <w:insideV w:val="nil"/>
        </w:tcBorders>
        <w:shd w:val="clear" w:color="auto" w:fill="FFFFFF"/>
      </w:tcPr>
    </w:tblStylePr>
    <w:tblStylePr w:type="lastRow">
      <w:tblPr/>
      <w:tcPr>
        <w:tcBorders>
          <w:top w:val="single" w:color="4BACC6" w:sz="8" w:space="0"/>
          <w:left w:val="nil"/>
          <w:bottom w:val="nil"/>
          <w:right w:val="nil"/>
          <w:insideH w:val="nil"/>
          <w:insideV w:val="nil"/>
        </w:tcBorders>
        <w:shd w:val="clear" w:color="auto" w:fill="FFFFFF"/>
      </w:tcPr>
    </w:tblStylePr>
    <w:tblStylePr w:type="firstCol">
      <w:tblPr/>
      <w:tcPr>
        <w:tcBorders>
          <w:top w:val="nil"/>
          <w:left w:val="nil"/>
          <w:bottom w:val="nil"/>
          <w:right w:val="single" w:color="4BACC6" w:sz="8" w:space="0"/>
          <w:insideH w:val="nil"/>
          <w:insideV w:val="nil"/>
        </w:tcBorders>
        <w:shd w:val="clear" w:color="auto" w:fill="FFFFFF"/>
      </w:tcPr>
    </w:tblStylePr>
    <w:tblStylePr w:type="lastCol">
      <w:tblPr/>
      <w:tcPr>
        <w:tcBorders>
          <w:top w:val="nil"/>
          <w:left w:val="nil"/>
          <w:bottom w:val="single" w:color="4BACC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199">
    <w:name w:val="Medium List 2 Accent 6"/>
    <w:basedOn w:val="12"/>
    <w:qFormat/>
    <w:uiPriority w:val="66"/>
    <w:rPr>
      <w:rFonts w:ascii="SimSun" w:hAnsi="SimSun" w:eastAsia="Courier New"/>
      <w:color w:val="000000"/>
    </w:rPr>
    <w:tblPr>
      <w:tblBorders>
        <w:top w:val="single" w:color="F79646" w:sz="8" w:space="0"/>
        <w:left w:val="single" w:color="F79646" w:sz="8" w:space="0"/>
        <w:bottom w:val="single" w:color="F79646" w:sz="8" w:space="0"/>
        <w:right w:val="single" w:color="F79646" w:sz="8" w:space="0"/>
      </w:tblBorders>
      <w:tblCellMar>
        <w:top w:w="0" w:type="dxa"/>
        <w:left w:w="108" w:type="dxa"/>
        <w:bottom w:w="0" w:type="dxa"/>
        <w:right w:w="108" w:type="dxa"/>
      </w:tblCellMar>
    </w:tblPr>
    <w:tblStylePr w:type="firstRow">
      <w:rPr>
        <w:sz w:val="24"/>
        <w:szCs w:val="24"/>
      </w:rPr>
      <w:tblPr/>
      <w:tcPr>
        <w:tcBorders>
          <w:top w:val="nil"/>
          <w:left w:val="single" w:color="F79646" w:sz="24" w:space="0"/>
          <w:bottom w:val="nil"/>
          <w:right w:val="nil"/>
          <w:insideH w:val="nil"/>
          <w:insideV w:val="nil"/>
        </w:tcBorders>
        <w:shd w:val="clear" w:color="auto" w:fill="FFFFFF"/>
      </w:tcPr>
    </w:tblStylePr>
    <w:tblStylePr w:type="lastRow">
      <w:tblPr/>
      <w:tcPr>
        <w:tcBorders>
          <w:top w:val="single" w:color="F79646" w:sz="8" w:space="0"/>
          <w:left w:val="nil"/>
          <w:bottom w:val="nil"/>
          <w:right w:val="nil"/>
          <w:insideH w:val="nil"/>
          <w:insideV w:val="nil"/>
        </w:tcBorders>
        <w:shd w:val="clear" w:color="auto" w:fill="FFFFFF"/>
      </w:tcPr>
    </w:tblStylePr>
    <w:tblStylePr w:type="firstCol">
      <w:tblPr/>
      <w:tcPr>
        <w:tcBorders>
          <w:top w:val="nil"/>
          <w:left w:val="nil"/>
          <w:bottom w:val="nil"/>
          <w:right w:val="single" w:color="F79646" w:sz="8" w:space="0"/>
          <w:insideH w:val="nil"/>
          <w:insideV w:val="nil"/>
        </w:tcBorders>
        <w:shd w:val="clear" w:color="auto" w:fill="FFFFFF"/>
      </w:tcPr>
    </w:tblStylePr>
    <w:tblStylePr w:type="lastCol">
      <w:tblPr/>
      <w:tcPr>
        <w:tcBorders>
          <w:top w:val="nil"/>
          <w:left w:val="nil"/>
          <w:bottom w:val="single" w:color="F7964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00">
    <w:name w:val="Medium Grid 1"/>
    <w:basedOn w:val="12"/>
    <w:qFormat/>
    <w:uiPriority w:val="67"/>
    <w:tblP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color="404040" w:sz="18" w:space="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01">
    <w:name w:val="Medium Grid 1 Accent 1"/>
    <w:basedOn w:val="12"/>
    <w:qFormat/>
    <w:uiPriority w:val="67"/>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color="7BA0CD" w:sz="18" w:space="0"/>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202">
    <w:name w:val="Medium Grid 1 Accent 2"/>
    <w:basedOn w:val="12"/>
    <w:uiPriority w:val="67"/>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203">
    <w:name w:val="Medium Grid 1 Accent 3"/>
    <w:basedOn w:val="12"/>
    <w:qFormat/>
    <w:uiPriority w:val="67"/>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204">
    <w:name w:val="Medium Grid 1 Accent 4"/>
    <w:basedOn w:val="12"/>
    <w:qFormat/>
    <w:uiPriority w:val="67"/>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color="9F8AB9" w:sz="18" w:space="0"/>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205">
    <w:name w:val="Medium Grid 1 Accent 5"/>
    <w:basedOn w:val="12"/>
    <w:qFormat/>
    <w:uiPriority w:val="67"/>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color="78C0D4" w:sz="18" w:space="0"/>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206">
    <w:name w:val="Medium Grid 1 Accent 6"/>
    <w:basedOn w:val="12"/>
    <w:qFormat/>
    <w:uiPriority w:val="67"/>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color="F9B074" w:sz="18" w:space="0"/>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07">
    <w:name w:val="Medium Grid 2"/>
    <w:basedOn w:val="12"/>
    <w:qFormat/>
    <w:uiPriority w:val="68"/>
    <w:rPr>
      <w:rFonts w:ascii="SimSun" w:hAnsi="SimSun" w:eastAsia="Courier New"/>
      <w:color w:val="000000"/>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insideV w:val="single" w:sz="6" w:space="0"/>
        </w:tcBorders>
        <w:shd w:val="clear" w:color="auto" w:fill="808080"/>
      </w:tcPr>
    </w:tblStylePr>
    <w:tblStylePr w:type="nwCell">
      <w:tblPr/>
      <w:tcPr>
        <w:shd w:val="clear" w:color="auto" w:fill="FFFFFF"/>
      </w:tcPr>
    </w:tblStylePr>
  </w:style>
  <w:style w:type="table" w:styleId="208">
    <w:name w:val="Medium Grid 2 Accent 1"/>
    <w:basedOn w:val="12"/>
    <w:qFormat/>
    <w:uiPriority w:val="68"/>
    <w:rPr>
      <w:rFonts w:ascii="SimSun" w:hAnsi="SimSun" w:eastAsia="Courier New"/>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insideV w:val="single" w:sz="6" w:space="0"/>
        </w:tcBorders>
        <w:shd w:val="clear" w:color="auto" w:fill="A7BFDE"/>
      </w:tcPr>
    </w:tblStylePr>
    <w:tblStylePr w:type="nwCell">
      <w:tblPr/>
      <w:tcPr>
        <w:shd w:val="clear" w:color="auto" w:fill="FFFFFF"/>
      </w:tcPr>
    </w:tblStylePr>
  </w:style>
  <w:style w:type="table" w:styleId="209">
    <w:name w:val="Medium Grid 2 Accent 2"/>
    <w:basedOn w:val="12"/>
    <w:qFormat/>
    <w:uiPriority w:val="68"/>
    <w:rPr>
      <w:rFonts w:ascii="SimSun" w:hAnsi="SimSun" w:eastAsia="Courier New"/>
      <w:color w:val="000000"/>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insideV w:val="single" w:sz="6" w:space="0"/>
        </w:tcBorders>
        <w:shd w:val="clear" w:color="auto" w:fill="DFA7A6"/>
      </w:tcPr>
    </w:tblStylePr>
    <w:tblStylePr w:type="nwCell">
      <w:tblPr/>
      <w:tcPr>
        <w:shd w:val="clear" w:color="auto" w:fill="FFFFFF"/>
      </w:tcPr>
    </w:tblStylePr>
  </w:style>
  <w:style w:type="table" w:styleId="210">
    <w:name w:val="Medium Grid 2 Accent 3"/>
    <w:basedOn w:val="12"/>
    <w:uiPriority w:val="68"/>
    <w:rPr>
      <w:rFonts w:ascii="SimSun" w:hAnsi="SimSun" w:eastAsia="Courier New"/>
      <w:color w:val="00000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insideV w:val="single" w:sz="6" w:space="0"/>
        </w:tcBorders>
        <w:shd w:val="clear" w:color="auto" w:fill="CDDDAC"/>
      </w:tcPr>
    </w:tblStylePr>
    <w:tblStylePr w:type="nwCell">
      <w:tblPr/>
      <w:tcPr>
        <w:shd w:val="clear" w:color="auto" w:fill="FFFFFF"/>
      </w:tcPr>
    </w:tblStylePr>
  </w:style>
  <w:style w:type="table" w:styleId="211">
    <w:name w:val="Medium Grid 2 Accent 4"/>
    <w:basedOn w:val="12"/>
    <w:uiPriority w:val="68"/>
    <w:rPr>
      <w:rFonts w:ascii="SimSun" w:hAnsi="SimSun" w:eastAsia="Courier New"/>
      <w:color w:val="000000"/>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insideV w:val="single" w:sz="6" w:space="0"/>
        </w:tcBorders>
        <w:shd w:val="clear" w:color="auto" w:fill="BFB1D0"/>
      </w:tcPr>
    </w:tblStylePr>
    <w:tblStylePr w:type="nwCell">
      <w:tblPr/>
      <w:tcPr>
        <w:shd w:val="clear" w:color="auto" w:fill="FFFFFF"/>
      </w:tcPr>
    </w:tblStylePr>
  </w:style>
  <w:style w:type="table" w:styleId="212">
    <w:name w:val="Medium Grid 2 Accent 5"/>
    <w:basedOn w:val="12"/>
    <w:uiPriority w:val="68"/>
    <w:rPr>
      <w:rFonts w:ascii="SimSun" w:hAnsi="SimSun" w:eastAsia="Courier New"/>
      <w:color w:val="00000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insideV w:val="single" w:sz="6" w:space="0"/>
        </w:tcBorders>
        <w:shd w:val="clear" w:color="auto" w:fill="A5D5E2"/>
      </w:tcPr>
    </w:tblStylePr>
    <w:tblStylePr w:type="nwCell">
      <w:tblPr/>
      <w:tcPr>
        <w:shd w:val="clear" w:color="auto" w:fill="FFFFFF"/>
      </w:tcPr>
    </w:tblStylePr>
  </w:style>
  <w:style w:type="table" w:styleId="213">
    <w:name w:val="Medium Grid 2 Accent 6"/>
    <w:basedOn w:val="12"/>
    <w:uiPriority w:val="68"/>
    <w:rPr>
      <w:rFonts w:ascii="SimSun" w:hAnsi="SimSun" w:eastAsia="Courier New"/>
      <w:color w:val="000000"/>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insideV w:val="single" w:sz="6" w:space="0"/>
        </w:tcBorders>
        <w:shd w:val="clear" w:color="auto" w:fill="FBCAA2"/>
      </w:tcPr>
    </w:tblStylePr>
    <w:tblStylePr w:type="nwCell">
      <w:tblPr/>
      <w:tcPr>
        <w:shd w:val="clear" w:color="auto" w:fill="FFFFFF"/>
      </w:tcPr>
    </w:tblStylePr>
  </w:style>
  <w:style w:type="table" w:styleId="214">
    <w:name w:val="Medium Grid 3"/>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000000"/>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000000"/>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000000"/>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00000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80808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808080"/>
      </w:tcPr>
    </w:tblStylePr>
  </w:style>
  <w:style w:type="table" w:styleId="215">
    <w:name w:val="Medium Grid 3 Accent 1"/>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F81B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7BFDE"/>
      </w:tcPr>
    </w:tblStylePr>
  </w:style>
  <w:style w:type="table" w:styleId="216">
    <w:name w:val="Medium Grid 3 Accent 2"/>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C0504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C0504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DFA7A6"/>
      </w:tcPr>
    </w:tblStylePr>
  </w:style>
  <w:style w:type="table" w:styleId="217">
    <w:name w:val="Medium Grid 3 Accent 3"/>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9BBB59"/>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9BBB59"/>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9BBB59"/>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9BBB59"/>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CDDDAC"/>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CDDDAC"/>
      </w:tcPr>
    </w:tblStylePr>
  </w:style>
  <w:style w:type="table" w:styleId="218">
    <w:name w:val="Medium Grid 3 Accent 4"/>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8064A2"/>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8064A2"/>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FB1D0"/>
      </w:tcPr>
    </w:tblStylePr>
  </w:style>
  <w:style w:type="table" w:styleId="219">
    <w:name w:val="Medium Grid 3 Accent 5"/>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BACC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BACC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5D5E2"/>
      </w:tcPr>
    </w:tblStylePr>
  </w:style>
  <w:style w:type="table" w:styleId="220">
    <w:name w:val="Medium Grid 3 Accent 6"/>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F7964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F7964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F7964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F7964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BCAA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FBCAA2"/>
      </w:tcPr>
    </w:tblStylePr>
  </w:style>
  <w:style w:type="table" w:styleId="221">
    <w:name w:val="Dark List"/>
    <w:basedOn w:val="12"/>
    <w:uiPriority w:val="70"/>
    <w:rPr>
      <w:color w:val="FFFFFF"/>
    </w:rPr>
    <w:tblPr>
      <w:tblCellMar>
        <w:top w:w="0" w:type="dxa"/>
        <w:left w:w="108" w:type="dxa"/>
        <w:bottom w:w="0" w:type="dxa"/>
        <w:right w:w="108" w:type="dxa"/>
      </w:tblCellMar>
    </w:tblPr>
    <w:tcPr>
      <w:shd w:val="clear" w:color="auto" w:fill="000000"/>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000000"/>
      </w:tcPr>
    </w:tblStylePr>
    <w:tblStylePr w:type="firstCol">
      <w:tblPr/>
      <w:tcPr>
        <w:tcBorders>
          <w:top w:val="nil"/>
          <w:left w:val="nil"/>
          <w:bottom w:val="nil"/>
          <w:right w:val="single" w:color="FFFFFF" w:sz="18" w:space="0"/>
          <w:insideH w:val="nil"/>
          <w:insideV w:val="nil"/>
        </w:tcBorders>
        <w:shd w:val="clear" w:color="auto" w:fill="000000"/>
      </w:tcPr>
    </w:tblStylePr>
    <w:tblStylePr w:type="lastCol">
      <w:tblPr/>
      <w:tcPr>
        <w:tcBorders>
          <w:top w:val="nil"/>
          <w:left w:val="nil"/>
          <w:bottom w:val="single" w:color="FFFFFF" w:sz="18" w:space="0"/>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222">
    <w:name w:val="Dark List Accent 1"/>
    <w:basedOn w:val="12"/>
    <w:uiPriority w:val="70"/>
    <w:rPr>
      <w:color w:val="FFFFFF"/>
    </w:rPr>
    <w:tblPr>
      <w:tblCellMar>
        <w:top w:w="0" w:type="dxa"/>
        <w:left w:w="108" w:type="dxa"/>
        <w:bottom w:w="0" w:type="dxa"/>
        <w:right w:w="108" w:type="dxa"/>
      </w:tblCellMar>
    </w:tblPr>
    <w:tcPr>
      <w:shd w:val="clear" w:color="auto" w:fill="4F81B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43F60"/>
      </w:tcPr>
    </w:tblStylePr>
    <w:tblStylePr w:type="firstCol">
      <w:tblPr/>
      <w:tcPr>
        <w:tcBorders>
          <w:top w:val="nil"/>
          <w:left w:val="nil"/>
          <w:bottom w:val="nil"/>
          <w:right w:val="single" w:color="FFFFFF" w:sz="18" w:space="0"/>
          <w:insideH w:val="nil"/>
          <w:insideV w:val="nil"/>
        </w:tcBorders>
        <w:shd w:val="clear" w:color="auto" w:fill="365F91"/>
      </w:tcPr>
    </w:tblStylePr>
    <w:tblStylePr w:type="lastCol">
      <w:tblPr/>
      <w:tcPr>
        <w:tcBorders>
          <w:top w:val="nil"/>
          <w:left w:val="nil"/>
          <w:bottom w:val="single" w:color="FFFFFF" w:sz="18" w:space="0"/>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23">
    <w:name w:val="Dark List Accent 2"/>
    <w:basedOn w:val="12"/>
    <w:qFormat/>
    <w:uiPriority w:val="70"/>
    <w:rPr>
      <w:color w:val="FFFFFF"/>
    </w:rPr>
    <w:tblPr>
      <w:tblCellMar>
        <w:top w:w="0" w:type="dxa"/>
        <w:left w:w="108" w:type="dxa"/>
        <w:bottom w:w="0" w:type="dxa"/>
        <w:right w:w="108" w:type="dxa"/>
      </w:tblCellMar>
    </w:tblPr>
    <w:tcPr>
      <w:shd w:val="clear" w:color="auto" w:fill="C0504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622423"/>
      </w:tcPr>
    </w:tblStylePr>
    <w:tblStylePr w:type="firstCol">
      <w:tblPr/>
      <w:tcPr>
        <w:tcBorders>
          <w:top w:val="nil"/>
          <w:left w:val="nil"/>
          <w:bottom w:val="nil"/>
          <w:right w:val="single" w:color="FFFFFF" w:sz="18" w:space="0"/>
          <w:insideH w:val="nil"/>
          <w:insideV w:val="nil"/>
        </w:tcBorders>
        <w:shd w:val="clear" w:color="auto" w:fill="943634"/>
      </w:tcPr>
    </w:tblStylePr>
    <w:tblStylePr w:type="lastCol">
      <w:tblPr/>
      <w:tcPr>
        <w:tcBorders>
          <w:top w:val="nil"/>
          <w:left w:val="nil"/>
          <w:bottom w:val="single" w:color="FFFFFF" w:sz="18" w:space="0"/>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224">
    <w:name w:val="Dark List Accent 3"/>
    <w:basedOn w:val="12"/>
    <w:qFormat/>
    <w:uiPriority w:val="70"/>
    <w:rPr>
      <w:color w:val="FFFFFF"/>
    </w:rPr>
    <w:tblPr>
      <w:tblCellMar>
        <w:top w:w="0" w:type="dxa"/>
        <w:left w:w="108" w:type="dxa"/>
        <w:bottom w:w="0" w:type="dxa"/>
        <w:right w:w="108" w:type="dxa"/>
      </w:tblCellMar>
    </w:tblPr>
    <w:tcPr>
      <w:shd w:val="clear" w:color="auto" w:fill="9BBB59"/>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4E6128"/>
      </w:tcPr>
    </w:tblStylePr>
    <w:tblStylePr w:type="firstCol">
      <w:tblPr/>
      <w:tcPr>
        <w:tcBorders>
          <w:top w:val="nil"/>
          <w:left w:val="nil"/>
          <w:bottom w:val="nil"/>
          <w:right w:val="single" w:color="FFFFFF" w:sz="18" w:space="0"/>
          <w:insideH w:val="nil"/>
          <w:insideV w:val="nil"/>
        </w:tcBorders>
        <w:shd w:val="clear" w:color="auto" w:fill="76923C"/>
      </w:tcPr>
    </w:tblStylePr>
    <w:tblStylePr w:type="lastCol">
      <w:tblPr/>
      <w:tcPr>
        <w:tcBorders>
          <w:top w:val="nil"/>
          <w:left w:val="nil"/>
          <w:bottom w:val="single" w:color="FFFFFF" w:sz="18" w:space="0"/>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225">
    <w:name w:val="Dark List Accent 4"/>
    <w:basedOn w:val="12"/>
    <w:qFormat/>
    <w:uiPriority w:val="70"/>
    <w:rPr>
      <w:color w:val="FFFFFF"/>
    </w:rPr>
    <w:tblPr>
      <w:tblCellMar>
        <w:top w:w="0" w:type="dxa"/>
        <w:left w:w="108" w:type="dxa"/>
        <w:bottom w:w="0" w:type="dxa"/>
        <w:right w:w="108" w:type="dxa"/>
      </w:tblCellMar>
    </w:tblPr>
    <w:tcPr>
      <w:shd w:val="clear" w:color="auto" w:fill="8064A2"/>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3F3151"/>
      </w:tcPr>
    </w:tblStylePr>
    <w:tblStylePr w:type="firstCol">
      <w:tblPr/>
      <w:tcPr>
        <w:tcBorders>
          <w:top w:val="nil"/>
          <w:left w:val="nil"/>
          <w:bottom w:val="nil"/>
          <w:right w:val="single" w:color="FFFFFF" w:sz="18" w:space="0"/>
          <w:insideH w:val="nil"/>
          <w:insideV w:val="nil"/>
        </w:tcBorders>
        <w:shd w:val="clear" w:color="auto" w:fill="5F497A"/>
      </w:tcPr>
    </w:tblStylePr>
    <w:tblStylePr w:type="lastCol">
      <w:tblPr/>
      <w:tcPr>
        <w:tcBorders>
          <w:top w:val="nil"/>
          <w:left w:val="nil"/>
          <w:bottom w:val="single" w:color="FFFFFF" w:sz="18" w:space="0"/>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226">
    <w:name w:val="Dark List Accent 5"/>
    <w:basedOn w:val="12"/>
    <w:qFormat/>
    <w:uiPriority w:val="70"/>
    <w:rPr>
      <w:color w:val="FFFFFF"/>
    </w:rPr>
    <w:tblPr>
      <w:tblCellMar>
        <w:top w:w="0" w:type="dxa"/>
        <w:left w:w="108" w:type="dxa"/>
        <w:bottom w:w="0" w:type="dxa"/>
        <w:right w:w="108" w:type="dxa"/>
      </w:tblCellMar>
    </w:tblPr>
    <w:tcPr>
      <w:shd w:val="clear" w:color="auto" w:fill="4BACC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05867"/>
      </w:tcPr>
    </w:tblStylePr>
    <w:tblStylePr w:type="firstCol">
      <w:tblPr/>
      <w:tcPr>
        <w:tcBorders>
          <w:top w:val="nil"/>
          <w:left w:val="nil"/>
          <w:bottom w:val="nil"/>
          <w:right w:val="single" w:color="FFFFFF" w:sz="18" w:space="0"/>
          <w:insideH w:val="nil"/>
          <w:insideV w:val="nil"/>
        </w:tcBorders>
        <w:shd w:val="clear" w:color="auto" w:fill="31849B"/>
      </w:tcPr>
    </w:tblStylePr>
    <w:tblStylePr w:type="lastCol">
      <w:tblPr/>
      <w:tcPr>
        <w:tcBorders>
          <w:top w:val="nil"/>
          <w:left w:val="nil"/>
          <w:bottom w:val="single" w:color="FFFFFF" w:sz="18" w:space="0"/>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227">
    <w:name w:val="Dark List Accent 6"/>
    <w:basedOn w:val="12"/>
    <w:qFormat/>
    <w:uiPriority w:val="70"/>
    <w:rPr>
      <w:color w:val="FFFFFF"/>
    </w:rPr>
    <w:tblPr>
      <w:tblCellMar>
        <w:top w:w="0" w:type="dxa"/>
        <w:left w:w="108" w:type="dxa"/>
        <w:bottom w:w="0" w:type="dxa"/>
        <w:right w:w="108" w:type="dxa"/>
      </w:tblCellMar>
    </w:tblPr>
    <w:tcPr>
      <w:shd w:val="clear" w:color="auto" w:fill="F7964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nil"/>
          <w:bottom w:val="single" w:color="FFFFFF" w:sz="18" w:space="0"/>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228">
    <w:name w:val="Colorful Shading"/>
    <w:basedOn w:val="12"/>
    <w:qFormat/>
    <w:uiPriority w:val="71"/>
    <w:rPr>
      <w:color w:val="000000"/>
    </w:rPr>
    <w:tblPr>
      <w:tblBorders>
        <w:top w:val="single" w:color="C0504D" w:sz="24" w:space="0"/>
        <w:left w:val="single" w:color="000000" w:sz="4" w:space="0"/>
        <w:bottom w:val="single" w:color="000000" w:sz="4" w:space="0"/>
        <w:right w:val="single" w:color="000000" w:sz="4" w:space="0"/>
        <w:insideH w:val="single" w:color="FFFFFF" w:sz="4" w:space="0"/>
        <w:insideV w:val="single" w:color="FFFFFF" w:sz="4" w:space="0"/>
      </w:tblBorders>
      <w:tblCellMar>
        <w:top w:w="0" w:type="dxa"/>
        <w:left w:w="108" w:type="dxa"/>
        <w:bottom w:w="0" w:type="dxa"/>
        <w:right w:w="108" w:type="dxa"/>
      </w:tblCellMar>
    </w:tblPr>
    <w:tcPr>
      <w:shd w:val="clear" w:color="auto" w:fill="E6E6E6"/>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00000"/>
      </w:tcPr>
    </w:tblStylePr>
    <w:tblStylePr w:type="firstCol">
      <w:rPr>
        <w:color w:val="FFFFFF"/>
      </w:rPr>
      <w:tblPr/>
      <w:tcPr>
        <w:tcBorders>
          <w:top w:val="nil"/>
          <w:left w:val="nil"/>
          <w:bottom w:val="nil"/>
          <w:right w:val="nil"/>
          <w:insideH w:val="single" w:sz="4" w:space="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229">
    <w:name w:val="Colorful Shading Accent 1"/>
    <w:basedOn w:val="12"/>
    <w:qFormat/>
    <w:uiPriority w:val="71"/>
    <w:rPr>
      <w:color w:val="00000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CellMar>
        <w:top w:w="0" w:type="dxa"/>
        <w:left w:w="108" w:type="dxa"/>
        <w:bottom w:w="0" w:type="dxa"/>
        <w:right w:w="108" w:type="dxa"/>
      </w:tblCellMar>
    </w:tblPr>
    <w:tcPr>
      <w:shd w:val="clear" w:color="auto" w:fill="EDF2F8"/>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C4C74"/>
      </w:tcPr>
    </w:tblStylePr>
    <w:tblStylePr w:type="firstCol">
      <w:rPr>
        <w:color w:val="FFFFFF"/>
      </w:rPr>
      <w:tblPr/>
      <w:tcPr>
        <w:tcBorders>
          <w:top w:val="nil"/>
          <w:left w:val="nil"/>
          <w:bottom w:val="nil"/>
          <w:right w:val="nil"/>
          <w:insideH w:val="single" w:sz="4" w:space="0"/>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30">
    <w:name w:val="Colorful Shading Accent 2"/>
    <w:basedOn w:val="12"/>
    <w:qFormat/>
    <w:uiPriority w:val="71"/>
    <w:rPr>
      <w:color w:val="000000"/>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CellMar>
        <w:top w:w="0" w:type="dxa"/>
        <w:left w:w="108" w:type="dxa"/>
        <w:bottom w:w="0" w:type="dxa"/>
        <w:right w:w="108" w:type="dxa"/>
      </w:tblCellMar>
    </w:tblPr>
    <w:tcPr>
      <w:shd w:val="clear" w:color="auto" w:fill="F8EDED"/>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772C2A"/>
      </w:tcPr>
    </w:tblStylePr>
    <w:tblStylePr w:type="firstCol">
      <w:rPr>
        <w:color w:val="FFFFFF"/>
      </w:rPr>
      <w:tblPr/>
      <w:tcPr>
        <w:tcBorders>
          <w:top w:val="nil"/>
          <w:left w:val="nil"/>
          <w:bottom w:val="nil"/>
          <w:right w:val="nil"/>
          <w:insideH w:val="single" w:sz="4" w:space="0"/>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231">
    <w:name w:val="Colorful Shading Accent 3"/>
    <w:basedOn w:val="12"/>
    <w:qFormat/>
    <w:uiPriority w:val="71"/>
    <w:rPr>
      <w:color w:val="000000"/>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CellMar>
        <w:top w:w="0" w:type="dxa"/>
        <w:left w:w="108" w:type="dxa"/>
        <w:bottom w:w="0" w:type="dxa"/>
        <w:right w:w="108" w:type="dxa"/>
      </w:tblCellMar>
    </w:tblPr>
    <w:tcPr>
      <w:shd w:val="clear" w:color="auto" w:fill="F5F8EE"/>
    </w:tcPr>
    <w:tblStylePr w:type="firstRow">
      <w:rPr>
        <w:b/>
        <w:bCs/>
      </w:rPr>
      <w:tblPr/>
      <w:tcPr>
        <w:tcBorders>
          <w:top w:val="nil"/>
          <w:left w:val="single" w:color="8064A2"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5E7530"/>
      </w:tcPr>
    </w:tblStylePr>
    <w:tblStylePr w:type="firstCol">
      <w:rPr>
        <w:color w:val="FFFFFF"/>
      </w:rPr>
      <w:tblPr/>
      <w:tcPr>
        <w:tcBorders>
          <w:top w:val="nil"/>
          <w:left w:val="nil"/>
          <w:bottom w:val="nil"/>
          <w:right w:val="nil"/>
          <w:insideH w:val="single" w:sz="4" w:space="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232">
    <w:name w:val="Colorful Shading Accent 4"/>
    <w:basedOn w:val="12"/>
    <w:qFormat/>
    <w:uiPriority w:val="71"/>
    <w:rPr>
      <w:color w:val="000000"/>
    </w:rPr>
    <w:tblPr>
      <w:tblBorders>
        <w:top w:val="single" w:color="9BBB59" w:sz="24" w:space="0"/>
        <w:left w:val="single" w:color="8064A2" w:sz="4" w:space="0"/>
        <w:bottom w:val="single" w:color="8064A2" w:sz="4" w:space="0"/>
        <w:right w:val="single" w:color="8064A2" w:sz="4" w:space="0"/>
        <w:insideH w:val="single" w:color="FFFFFF" w:sz="4" w:space="0"/>
        <w:insideV w:val="single" w:color="FFFFFF" w:sz="4" w:space="0"/>
      </w:tblBorders>
      <w:tblCellMar>
        <w:top w:w="0" w:type="dxa"/>
        <w:left w:w="108" w:type="dxa"/>
        <w:bottom w:w="0" w:type="dxa"/>
        <w:right w:w="108" w:type="dxa"/>
      </w:tblCellMar>
    </w:tblPr>
    <w:tcPr>
      <w:shd w:val="clear" w:color="auto" w:fill="F2EFF6"/>
    </w:tcPr>
    <w:tblStylePr w:type="firstRow">
      <w:rPr>
        <w:b/>
        <w:bCs/>
      </w:rPr>
      <w:tblPr/>
      <w:tcPr>
        <w:tcBorders>
          <w:top w:val="nil"/>
          <w:left w:val="single" w:color="9BBB59"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4C3B62"/>
      </w:tcPr>
    </w:tblStylePr>
    <w:tblStylePr w:type="firstCol">
      <w:rPr>
        <w:color w:val="FFFFFF"/>
      </w:rPr>
      <w:tblPr/>
      <w:tcPr>
        <w:tcBorders>
          <w:top w:val="nil"/>
          <w:left w:val="nil"/>
          <w:bottom w:val="nil"/>
          <w:right w:val="nil"/>
          <w:insideH w:val="single" w:sz="4" w:space="0"/>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233">
    <w:name w:val="Colorful Shading Accent 5"/>
    <w:basedOn w:val="12"/>
    <w:qFormat/>
    <w:uiPriority w:val="71"/>
    <w:rPr>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CellMar>
        <w:top w:w="0" w:type="dxa"/>
        <w:left w:w="108" w:type="dxa"/>
        <w:bottom w:w="0" w:type="dxa"/>
        <w:right w:w="108" w:type="dxa"/>
      </w:tblCellMar>
    </w:tblPr>
    <w:tcPr>
      <w:shd w:val="clear" w:color="auto" w:fill="EDF6F9"/>
    </w:tcPr>
    <w:tblStylePr w:type="firstRow">
      <w:rPr>
        <w:b/>
        <w:bCs/>
      </w:rPr>
      <w:tblPr/>
      <w:tcPr>
        <w:tcBorders>
          <w:top w:val="nil"/>
          <w:left w:val="single" w:color="F7964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76A7C"/>
      </w:tcPr>
    </w:tblStylePr>
    <w:tblStylePr w:type="firstCol">
      <w:rPr>
        <w:color w:val="FFFFFF"/>
      </w:rPr>
      <w:tblPr/>
      <w:tcPr>
        <w:tcBorders>
          <w:top w:val="nil"/>
          <w:left w:val="nil"/>
          <w:bottom w:val="nil"/>
          <w:right w:val="nil"/>
          <w:insideH w:val="single" w:sz="4" w:space="0"/>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234">
    <w:name w:val="Colorful Shading Accent 6"/>
    <w:basedOn w:val="12"/>
    <w:qFormat/>
    <w:uiPriority w:val="71"/>
    <w:rPr>
      <w:color w:val="000000"/>
    </w:rPr>
    <w:tblPr>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CellMar>
        <w:top w:w="0" w:type="dxa"/>
        <w:left w:w="108" w:type="dxa"/>
        <w:bottom w:w="0" w:type="dxa"/>
        <w:right w:w="108" w:type="dxa"/>
      </w:tblCellMar>
    </w:tblPr>
    <w:tcPr>
      <w:shd w:val="clear" w:color="auto" w:fill="FEF4EC"/>
    </w:tcPr>
    <w:tblStylePr w:type="firstRow">
      <w:rPr>
        <w:b/>
        <w:bCs/>
      </w:rPr>
      <w:tblPr/>
      <w:tcPr>
        <w:tcBorders>
          <w:top w:val="nil"/>
          <w:left w:val="single" w:color="4BACC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B65608"/>
      </w:tcPr>
    </w:tblStylePr>
    <w:tblStylePr w:type="firstCol">
      <w:rPr>
        <w:color w:val="FFFFFF"/>
      </w:rPr>
      <w:tblPr/>
      <w:tcPr>
        <w:tcBorders>
          <w:top w:val="nil"/>
          <w:left w:val="nil"/>
          <w:bottom w:val="nil"/>
          <w:right w:val="nil"/>
          <w:insideH w:val="single" w:sz="4" w:space="0"/>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235">
    <w:name w:val="Colorful List"/>
    <w:basedOn w:val="12"/>
    <w:qFormat/>
    <w:uiPriority w:val="72"/>
    <w:rPr>
      <w:color w:val="000000"/>
    </w:rPr>
    <w:tblPr>
      <w:tblCellMar>
        <w:top w:w="0" w:type="dxa"/>
        <w:left w:w="108" w:type="dxa"/>
        <w:bottom w:w="0" w:type="dxa"/>
        <w:right w:w="108" w:type="dxa"/>
      </w:tblCellMar>
    </w:tblPr>
    <w:tcPr>
      <w:shd w:val="clear" w:color="auto" w:fill="E6E6E6"/>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236">
    <w:name w:val="Colorful List Accent 1"/>
    <w:basedOn w:val="12"/>
    <w:qFormat/>
    <w:uiPriority w:val="72"/>
    <w:rPr>
      <w:color w:val="000000"/>
    </w:rPr>
    <w:tblPr>
      <w:tblCellMar>
        <w:top w:w="0" w:type="dxa"/>
        <w:left w:w="108" w:type="dxa"/>
        <w:bottom w:w="0" w:type="dxa"/>
        <w:right w:w="108" w:type="dxa"/>
      </w:tblCellMar>
    </w:tblPr>
    <w:tcPr>
      <w:shd w:val="clear" w:color="auto" w:fill="EDF2F8"/>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37">
    <w:name w:val="Colorful List Accent 2"/>
    <w:basedOn w:val="12"/>
    <w:qFormat/>
    <w:uiPriority w:val="72"/>
    <w:rPr>
      <w:color w:val="000000"/>
    </w:rPr>
    <w:tblPr>
      <w:tblCellMar>
        <w:top w:w="0" w:type="dxa"/>
        <w:left w:w="108" w:type="dxa"/>
        <w:bottom w:w="0" w:type="dxa"/>
        <w:right w:w="108" w:type="dxa"/>
      </w:tblCellMar>
    </w:tblPr>
    <w:tcPr>
      <w:shd w:val="clear" w:color="auto" w:fill="F8EDED"/>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238">
    <w:name w:val="Colorful List Accent 3"/>
    <w:basedOn w:val="12"/>
    <w:qFormat/>
    <w:uiPriority w:val="72"/>
    <w:rPr>
      <w:color w:val="000000"/>
    </w:rPr>
    <w:tblPr>
      <w:tblCellMar>
        <w:top w:w="0" w:type="dxa"/>
        <w:left w:w="108" w:type="dxa"/>
        <w:bottom w:w="0" w:type="dxa"/>
        <w:right w:w="108" w:type="dxa"/>
      </w:tblCellMar>
    </w:tblPr>
    <w:tcPr>
      <w:shd w:val="clear" w:color="auto" w:fill="F5F8EE"/>
    </w:tcPr>
    <w:tblStylePr w:type="firstRow">
      <w:rPr>
        <w:b/>
        <w:bCs/>
        <w:color w:val="FFFFFF"/>
      </w:rPr>
      <w:tblPr/>
      <w:tcPr>
        <w:tcBorders>
          <w:left w:val="single" w:color="FFFFFF" w:sz="12" w:space="0"/>
        </w:tcBorders>
        <w:shd w:val="clear" w:color="auto" w:fill="664E82"/>
      </w:tcPr>
    </w:tblStylePr>
    <w:tblStylePr w:type="lastRow">
      <w:rPr>
        <w:b/>
        <w:bCs/>
        <w:color w:val="664E82"/>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239">
    <w:name w:val="Colorful List Accent 4"/>
    <w:basedOn w:val="12"/>
    <w:qFormat/>
    <w:uiPriority w:val="72"/>
    <w:rPr>
      <w:color w:val="000000"/>
    </w:rPr>
    <w:tblPr>
      <w:tblCellMar>
        <w:top w:w="0" w:type="dxa"/>
        <w:left w:w="108" w:type="dxa"/>
        <w:bottom w:w="0" w:type="dxa"/>
        <w:right w:w="108" w:type="dxa"/>
      </w:tblCellMar>
    </w:tblPr>
    <w:tcPr>
      <w:shd w:val="clear" w:color="auto" w:fill="F2EFF6"/>
    </w:tcPr>
    <w:tblStylePr w:type="firstRow">
      <w:rPr>
        <w:b/>
        <w:bCs/>
        <w:color w:val="FFFFFF"/>
      </w:rPr>
      <w:tblPr/>
      <w:tcPr>
        <w:tcBorders>
          <w:left w:val="single" w:color="FFFFFF" w:sz="12" w:space="0"/>
        </w:tcBorders>
        <w:shd w:val="clear" w:color="auto" w:fill="7E9C40"/>
      </w:tcPr>
    </w:tblStylePr>
    <w:tblStylePr w:type="lastRow">
      <w:rPr>
        <w:b/>
        <w:bCs/>
        <w:color w:val="7E9C40"/>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240">
    <w:name w:val="Colorful List Accent 5"/>
    <w:basedOn w:val="12"/>
    <w:qFormat/>
    <w:uiPriority w:val="72"/>
    <w:rPr>
      <w:color w:val="000000"/>
    </w:rPr>
    <w:tblPr>
      <w:tblCellMar>
        <w:top w:w="0" w:type="dxa"/>
        <w:left w:w="108" w:type="dxa"/>
        <w:bottom w:w="0" w:type="dxa"/>
        <w:right w:w="108" w:type="dxa"/>
      </w:tblCellMar>
    </w:tblPr>
    <w:tcPr>
      <w:shd w:val="clear" w:color="auto" w:fill="EDF6F9"/>
    </w:tcPr>
    <w:tblStylePr w:type="firstRow">
      <w:rPr>
        <w:b/>
        <w:bCs/>
        <w:color w:val="FFFFFF"/>
      </w:rPr>
      <w:tblPr/>
      <w:tcPr>
        <w:tcBorders>
          <w:left w:val="single" w:color="FFFFFF" w:sz="12" w:space="0"/>
        </w:tcBorders>
        <w:shd w:val="clear" w:color="auto" w:fill="F2730A"/>
      </w:tcPr>
    </w:tblStylePr>
    <w:tblStylePr w:type="lastRow">
      <w:rPr>
        <w:b/>
        <w:bCs/>
        <w:color w:val="F2730A"/>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241">
    <w:name w:val="Colorful List Accent 6"/>
    <w:basedOn w:val="12"/>
    <w:qFormat/>
    <w:uiPriority w:val="72"/>
    <w:rPr>
      <w:color w:val="000000"/>
    </w:rPr>
    <w:tblPr>
      <w:tblCellMar>
        <w:top w:w="0" w:type="dxa"/>
        <w:left w:w="108" w:type="dxa"/>
        <w:bottom w:w="0" w:type="dxa"/>
        <w:right w:w="108" w:type="dxa"/>
      </w:tblCellMar>
    </w:tblPr>
    <w:tcPr>
      <w:shd w:val="clear" w:color="auto" w:fill="FEF4EC"/>
    </w:tcPr>
    <w:tblStylePr w:type="firstRow">
      <w:rPr>
        <w:b/>
        <w:bCs/>
        <w:color w:val="FFFFFF"/>
      </w:rPr>
      <w:tblPr/>
      <w:tcPr>
        <w:tcBorders>
          <w:left w:val="single" w:color="FFFFFF" w:sz="12" w:space="0"/>
        </w:tcBorders>
        <w:shd w:val="clear" w:color="auto" w:fill="348DA5"/>
      </w:tcPr>
    </w:tblStylePr>
    <w:tblStylePr w:type="lastRow">
      <w:rPr>
        <w:b/>
        <w:bCs/>
        <w:color w:val="348DA5"/>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242">
    <w:name w:val="Colorful Grid"/>
    <w:basedOn w:val="12"/>
    <w:qFormat/>
    <w:uiPriority w:val="73"/>
    <w:rPr>
      <w:color w:val="000000"/>
    </w:rPr>
    <w:tblPr>
      <w:tblBorders>
        <w:insideH w:val="single" w:color="FFFFFF" w:sz="4" w:space="0"/>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243">
    <w:name w:val="Colorful Grid Accent 1"/>
    <w:basedOn w:val="12"/>
    <w:qFormat/>
    <w:uiPriority w:val="73"/>
    <w:rPr>
      <w:color w:val="000000"/>
    </w:rPr>
    <w:tblPr>
      <w:tblBorders>
        <w:insideH w:val="single" w:color="FFFFFF" w:sz="4" w:space="0"/>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44">
    <w:name w:val="Colorful Grid Accent 2"/>
    <w:basedOn w:val="12"/>
    <w:qFormat/>
    <w:uiPriority w:val="73"/>
    <w:rPr>
      <w:color w:val="000000"/>
    </w:rPr>
    <w:tblPr>
      <w:tblBorders>
        <w:insideH w:val="single" w:color="FFFFFF" w:sz="4" w:space="0"/>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245">
    <w:name w:val="Colorful Grid Accent 3"/>
    <w:basedOn w:val="12"/>
    <w:qFormat/>
    <w:uiPriority w:val="73"/>
    <w:rPr>
      <w:color w:val="000000"/>
    </w:rPr>
    <w:tblPr>
      <w:tblBorders>
        <w:insideH w:val="single" w:color="FFFFFF" w:sz="4" w:space="0"/>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246">
    <w:name w:val="Colorful Grid Accent 4"/>
    <w:basedOn w:val="12"/>
    <w:qFormat/>
    <w:uiPriority w:val="73"/>
    <w:rPr>
      <w:color w:val="000000"/>
    </w:rPr>
    <w:tblPr>
      <w:tblBorders>
        <w:insideH w:val="single" w:color="FFFFFF" w:sz="4" w:space="0"/>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247">
    <w:name w:val="Colorful Grid Accent 5"/>
    <w:basedOn w:val="12"/>
    <w:qFormat/>
    <w:uiPriority w:val="73"/>
    <w:rPr>
      <w:color w:val="000000"/>
    </w:rPr>
    <w:tblPr>
      <w:tblBorders>
        <w:insideH w:val="single" w:color="FFFFFF" w:sz="4" w:space="0"/>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248">
    <w:name w:val="Colorful Grid Accent 6"/>
    <w:basedOn w:val="12"/>
    <w:qFormat/>
    <w:uiPriority w:val="73"/>
    <w:rPr>
      <w:color w:val="000000"/>
    </w:rPr>
    <w:tblPr>
      <w:tblBorders>
        <w:insideH w:val="single" w:color="FFFFFF" w:sz="4" w:space="0"/>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249">
    <w:name w:val="List Paragraph"/>
    <w:basedOn w:val="1"/>
    <w:qFormat/>
    <w:uiPriority w:val="34"/>
    <w:pPr>
      <w:ind w:left="720"/>
      <w:contextualSpacing/>
    </w:pPr>
    <w:rPr>
      <w:rFonts w:ascii="VNI-Times" w:hAnsi="VNI-Times"/>
      <w:bCs/>
    </w:rPr>
  </w:style>
  <w:style w:type="character" w:customStyle="1" w:styleId="250">
    <w:name w:val="__mb_site_author"/>
    <w:basedOn w:val="11"/>
    <w:qFormat/>
    <w:uiPriority w:val="0"/>
  </w:style>
  <w:style w:type="paragraph" w:customStyle="1" w:styleId="251">
    <w:name w:val="description"/>
    <w:basedOn w:val="1"/>
    <w:qFormat/>
    <w:uiPriority w:val="0"/>
    <w:pPr>
      <w:spacing w:before="100" w:beforeAutospacing="1" w:after="100" w:afterAutospacing="1"/>
    </w:pPr>
    <w:rPr>
      <w:bCs/>
    </w:rPr>
  </w:style>
  <w:style w:type="paragraph" w:customStyle="1" w:styleId="252">
    <w:name w:val="Normal1"/>
    <w:basedOn w:val="1"/>
    <w:qFormat/>
    <w:uiPriority w:val="0"/>
    <w:pPr>
      <w:spacing w:before="100" w:beforeAutospacing="1" w:after="100" w:afterAutospacing="1"/>
    </w:pPr>
    <w:rPr>
      <w:bCs/>
    </w:rPr>
  </w:style>
  <w:style w:type="character" w:customStyle="1" w:styleId="253">
    <w:name w:val="Unresolved Mention"/>
    <w:basedOn w:val="11"/>
    <w:semiHidden/>
    <w:unhideWhenUsed/>
    <w:qFormat/>
    <w:uiPriority w:val="99"/>
    <w:rPr>
      <w:color w:val="605E5C"/>
      <w:shd w:val="clear" w:color="auto" w:fill="E1DFDD"/>
    </w:rPr>
  </w:style>
  <w:style w:type="paragraph" w:customStyle="1" w:styleId="254">
    <w:name w:val="desnews"/>
    <w:basedOn w:val="1"/>
    <w:qFormat/>
    <w:uiPriority w:val="0"/>
    <w:pPr>
      <w:spacing w:before="100" w:beforeAutospacing="1" w:after="100" w:afterAutospacing="1"/>
    </w:pPr>
    <w:rPr>
      <w:bCs/>
    </w:rPr>
  </w:style>
  <w:style w:type="paragraph" w:customStyle="1" w:styleId="255">
    <w:name w:val="hqol"/>
    <w:basedOn w:val="1"/>
    <w:uiPriority w:val="0"/>
    <w:pPr>
      <w:spacing w:before="100" w:beforeAutospacing="1" w:after="100" w:afterAutospacing="1"/>
    </w:pPr>
    <w:rPr>
      <w:bCs/>
    </w:rPr>
  </w:style>
  <w:style w:type="paragraph" w:customStyle="1" w:styleId="256">
    <w:name w:val="Normal2"/>
    <w:basedOn w:val="1"/>
    <w:uiPriority w:val="0"/>
    <w:pPr>
      <w:spacing w:before="100" w:beforeAutospacing="1" w:after="100" w:afterAutospacing="1"/>
    </w:pPr>
    <w:rPr>
      <w:bCs/>
    </w:rPr>
  </w:style>
  <w:style w:type="character" w:customStyle="1" w:styleId="257">
    <w:name w:val="Header Char"/>
    <w:basedOn w:val="11"/>
    <w:link w:val="40"/>
    <w:uiPriority w:val="99"/>
    <w:rPr>
      <w:rFonts w:eastAsia="Times New Roman"/>
      <w:bCs/>
      <w:sz w:val="18"/>
      <w:szCs w:val="18"/>
      <w:lang w:val="en-GB"/>
    </w:rPr>
  </w:style>
  <w:style w:type="character" w:customStyle="1" w:styleId="258">
    <w:name w:val="Footer Char"/>
    <w:basedOn w:val="11"/>
    <w:link w:val="37"/>
    <w:uiPriority w:val="99"/>
    <w:rPr>
      <w:rFonts w:eastAsia="Times New Roman"/>
      <w:bCs/>
      <w:sz w:val="18"/>
      <w:szCs w:val="18"/>
      <w:lang w:val="en-GB"/>
    </w:rPr>
  </w:style>
  <w:style w:type="paragraph" w:customStyle="1" w:styleId="259">
    <w:name w:val="p-res"/>
    <w:basedOn w:val="1"/>
    <w:qFormat/>
    <w:uiPriority w:val="0"/>
    <w:pPr>
      <w:spacing w:before="100" w:beforeAutospacing="1" w:after="100" w:afterAutospacing="1"/>
    </w:pPr>
    <w:rPr>
      <w:bCs/>
    </w:rPr>
  </w:style>
  <w:style w:type="character" w:customStyle="1" w:styleId="260">
    <w:name w:val="source"/>
    <w:basedOn w:val="11"/>
    <w:uiPriority w:val="0"/>
  </w:style>
  <w:style w:type="character" w:customStyle="1" w:styleId="261">
    <w:name w:val="apple-converted-space"/>
    <w:basedOn w:val="11"/>
    <w:uiPriority w:val="0"/>
  </w:style>
  <w:style w:type="paragraph" w:customStyle="1" w:styleId="262">
    <w:name w:val="kbwscwlrl"/>
    <w:basedOn w:val="1"/>
    <w:uiPriority w:val="0"/>
    <w:pPr>
      <w:spacing w:before="100" w:beforeAutospacing="1" w:after="100" w:afterAutospacing="1"/>
    </w:pPr>
  </w:style>
  <w:style w:type="paragraph" w:customStyle="1" w:styleId="263">
    <w:name w:val="text-change-size"/>
    <w:basedOn w:val="1"/>
    <w:uiPriority w:val="0"/>
    <w:pPr>
      <w:spacing w:before="100" w:beforeAutospacing="1" w:after="100" w:afterAutospacing="1"/>
    </w:pPr>
  </w:style>
  <w:style w:type="paragraph" w:customStyle="1" w:styleId="264">
    <w:name w:val="image"/>
    <w:basedOn w:val="1"/>
    <w:uiPriority w:val="0"/>
    <w:pPr>
      <w:spacing w:before="100" w:beforeAutospacing="1" w:after="100" w:afterAutospacing="1"/>
    </w:pPr>
  </w:style>
  <w:style w:type="character" w:customStyle="1" w:styleId="265">
    <w:name w:val="Caption1"/>
    <w:basedOn w:val="11"/>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39CCC-22A1-4864-B774-77058663AB68}">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16</Pages>
  <Words>3248</Words>
  <Characters>18517</Characters>
  <Lines>154</Lines>
  <Paragraphs>43</Paragraphs>
  <TotalTime>16</TotalTime>
  <ScaleCrop>false</ScaleCrop>
  <LinksUpToDate>false</LinksUpToDate>
  <CharactersWithSpaces>21722</CharactersWithSpaces>
  <Application>WPS Office_11.2.0.11513_F1E327BC-269C-435d-A152-05C5408002CA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2023-04-03T03:12:00Z</dcterms:created>
  <dc:creator>DELL</dc:creator>
  <cp:lastModifiedBy>Hồ Thanh Phong</cp:lastModifiedBy>
  <cp:lastPrinted>2023-03-29T16:37:00Z</cp:lastPrinted>
  <dcterms:modified xsi:type="dcterms:W3CDTF">2023-04-04T09:52:44Z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1033-11.2.0.11513</vt:lpwstr>
  </property>
  <property fmtid="{D5CDD505-2E9C-101B-9397-08002B2CF9AE}" pid="3" name="ICV">
    <vt:lpwstr>A37081814865420A96C9B321D85FEB30</vt:lpwstr>
  </property>
</Properties>
</file>